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0" w:type="auto"/>
        <w:tblInd w:w="112" w:type="dxa"/>
        <w:tblLayout w:type="fixed"/>
        <w:tblCellMar>
          <w:top w:w="0" w:type="dxa"/>
          <w:left w:w="0" w:type="dxa"/>
          <w:bottom w:w="0" w:type="dxa"/>
          <w:right w:w="0" w:type="dxa"/>
        </w:tblCellMar>
      </w:tblPr>
      <w:tblGrid>
        <w:gridCol w:w="1805"/>
        <w:gridCol w:w="2863"/>
        <w:gridCol w:w="1687"/>
        <w:gridCol w:w="2706"/>
      </w:tblGrid>
      <w:tr>
        <w:tblPrEx>
          <w:tblCellMar>
            <w:top w:w="0" w:type="dxa"/>
            <w:left w:w="0" w:type="dxa"/>
            <w:bottom w:w="0" w:type="dxa"/>
            <w:right w:w="0" w:type="dxa"/>
          </w:tblCellMar>
        </w:tblPrEx>
        <w:trPr>
          <w:trHeight w:val="841" w:hRule="exact"/>
        </w:trPr>
        <w:tc>
          <w:tcPr>
            <w:tcW w:w="1805" w:type="dxa"/>
            <w:tcBorders>
              <w:top w:val="single" w:color="000000" w:sz="6" w:space="0"/>
              <w:left w:val="single" w:color="000000" w:sz="6" w:space="0"/>
              <w:bottom w:val="single" w:color="000000" w:sz="6" w:space="0"/>
              <w:right w:val="single" w:color="000000" w:sz="6" w:space="0"/>
            </w:tcBorders>
            <w:noWrap w:val="0"/>
            <w:vAlign w:val="top"/>
          </w:tcPr>
          <w:p>
            <w:pPr>
              <w:pStyle w:val="28"/>
              <w:spacing w:line="277" w:lineRule="exact"/>
              <w:ind w:right="0"/>
              <w:jc w:val="left"/>
              <w:rPr>
                <w:rFonts w:ascii="仿宋_GB2312" w:hAnsi="仿宋_GB2312" w:eastAsia="仿宋_GB2312" w:cs="仿宋_GB2312"/>
                <w:sz w:val="24"/>
                <w:szCs w:val="24"/>
              </w:rPr>
            </w:pPr>
            <w:r>
              <w:rPr>
                <w:rFonts w:ascii="仿宋_GB2312" w:hAnsi="仿宋_GB2312" w:eastAsia="仿宋_GB2312" w:cs="仿宋_GB2312"/>
                <w:sz w:val="24"/>
                <w:szCs w:val="24"/>
              </w:rPr>
              <w:t>文章标题</w:t>
            </w:r>
          </w:p>
        </w:tc>
        <w:tc>
          <w:tcPr>
            <w:tcW w:w="7256" w:type="dxa"/>
            <w:gridSpan w:val="3"/>
            <w:tcBorders>
              <w:top w:val="single" w:color="000000" w:sz="6" w:space="0"/>
              <w:left w:val="single" w:color="000000" w:sz="6" w:space="0"/>
              <w:bottom w:val="single" w:color="000000" w:sz="6" w:space="0"/>
              <w:right w:val="single" w:color="000000" w:sz="6" w:space="0"/>
            </w:tcBorders>
            <w:noWrap w:val="0"/>
            <w:vAlign w:val="top"/>
          </w:tcPr>
          <w:p>
            <w:pPr>
              <w:bidi w:val="0"/>
              <w:spacing w:line="240" w:lineRule="auto"/>
            </w:pPr>
            <w:r>
              <w:rPr>
                <w:rFonts w:hint="eastAsia" w:ascii="仿宋_GB2312" w:hAnsi="仿宋_GB2312" w:eastAsia="仿宋_GB2312" w:cs="仿宋_GB2312"/>
                <w:kern w:val="2"/>
                <w:sz w:val="24"/>
                <w:szCs w:val="24"/>
                <w:lang w:val="en-US" w:eastAsia="zh-CN" w:bidi="ar-SA"/>
              </w:rPr>
              <w:t>李沧区人民政府办公室关于印发《李沧区质量品牌提升专项资金管理办法》的通知</w:t>
            </w:r>
            <w:bookmarkStart w:id="0" w:name="_GoBack"/>
            <w:bookmarkEnd w:id="0"/>
          </w:p>
        </w:tc>
      </w:tr>
      <w:tr>
        <w:tblPrEx>
          <w:tblCellMar>
            <w:top w:w="0" w:type="dxa"/>
            <w:left w:w="0" w:type="dxa"/>
            <w:bottom w:w="0" w:type="dxa"/>
            <w:right w:w="0" w:type="dxa"/>
          </w:tblCellMar>
        </w:tblPrEx>
        <w:trPr>
          <w:trHeight w:val="327" w:hRule="exact"/>
        </w:trPr>
        <w:tc>
          <w:tcPr>
            <w:tcW w:w="1805" w:type="dxa"/>
            <w:tcBorders>
              <w:top w:val="single" w:color="000000" w:sz="6" w:space="0"/>
              <w:left w:val="single" w:color="000000" w:sz="6" w:space="0"/>
              <w:bottom w:val="single" w:color="000000" w:sz="6" w:space="0"/>
              <w:right w:val="single" w:color="000000" w:sz="6" w:space="0"/>
            </w:tcBorders>
            <w:noWrap w:val="0"/>
            <w:vAlign w:val="top"/>
          </w:tcPr>
          <w:p>
            <w:pPr>
              <w:pStyle w:val="28"/>
              <w:spacing w:line="277" w:lineRule="exact"/>
              <w:ind w:right="0"/>
              <w:jc w:val="left"/>
              <w:rPr>
                <w:rFonts w:ascii="仿宋_GB2312" w:hAnsi="仿宋_GB2312" w:eastAsia="仿宋_GB2312" w:cs="仿宋_GB2312"/>
                <w:sz w:val="24"/>
                <w:szCs w:val="24"/>
              </w:rPr>
            </w:pPr>
            <w:r>
              <w:rPr>
                <w:rFonts w:ascii="仿宋_GB2312" w:hAnsi="仿宋_GB2312" w:eastAsia="仿宋_GB2312" w:cs="仿宋_GB2312"/>
                <w:sz w:val="24"/>
                <w:szCs w:val="24"/>
              </w:rPr>
              <w:t>制发机关</w:t>
            </w:r>
          </w:p>
        </w:tc>
        <w:tc>
          <w:tcPr>
            <w:tcW w:w="2863" w:type="dxa"/>
            <w:tcBorders>
              <w:top w:val="single" w:color="000000" w:sz="6" w:space="0"/>
              <w:left w:val="single" w:color="000000" w:sz="6" w:space="0"/>
              <w:bottom w:val="single" w:color="000000" w:sz="6" w:space="0"/>
              <w:right w:val="single" w:color="000000" w:sz="6" w:space="0"/>
            </w:tcBorders>
            <w:noWrap w:val="0"/>
            <w:vAlign w:val="top"/>
          </w:tcPr>
          <w:p>
            <w:pPr>
              <w:pStyle w:val="28"/>
              <w:spacing w:line="277" w:lineRule="exact"/>
              <w:ind w:right="0"/>
              <w:jc w:val="left"/>
              <w:rPr>
                <w:rFonts w:ascii="仿宋_GB2312" w:hAnsi="仿宋_GB2312" w:eastAsia="仿宋_GB2312" w:cs="仿宋_GB2312"/>
                <w:sz w:val="24"/>
                <w:szCs w:val="24"/>
              </w:rPr>
            </w:pPr>
            <w:r>
              <w:rPr>
                <w:rFonts w:ascii="仿宋_GB2312" w:hAnsi="仿宋_GB2312" w:eastAsia="仿宋_GB2312" w:cs="仿宋_GB2312"/>
                <w:sz w:val="24"/>
                <w:szCs w:val="24"/>
              </w:rPr>
              <w:t>李沧区人民政府办公室</w:t>
            </w:r>
          </w:p>
        </w:tc>
        <w:tc>
          <w:tcPr>
            <w:tcW w:w="1687" w:type="dxa"/>
            <w:tcBorders>
              <w:top w:val="single" w:color="000000" w:sz="6" w:space="0"/>
              <w:left w:val="single" w:color="000000" w:sz="6" w:space="0"/>
              <w:bottom w:val="single" w:color="000000" w:sz="6" w:space="0"/>
              <w:right w:val="single" w:color="000000" w:sz="6" w:space="0"/>
            </w:tcBorders>
            <w:noWrap w:val="0"/>
            <w:vAlign w:val="top"/>
          </w:tcPr>
          <w:p>
            <w:pPr>
              <w:pStyle w:val="28"/>
              <w:spacing w:line="277" w:lineRule="exact"/>
              <w:ind w:right="0"/>
              <w:jc w:val="left"/>
              <w:rPr>
                <w:rFonts w:ascii="仿宋_GB2312" w:hAnsi="仿宋_GB2312" w:eastAsia="仿宋_GB2312" w:cs="仿宋_GB2312"/>
                <w:sz w:val="24"/>
                <w:szCs w:val="24"/>
              </w:rPr>
            </w:pPr>
            <w:r>
              <w:rPr>
                <w:rFonts w:ascii="仿宋_GB2312" w:hAnsi="仿宋_GB2312" w:eastAsia="仿宋_GB2312" w:cs="仿宋_GB2312"/>
                <w:sz w:val="24"/>
                <w:szCs w:val="24"/>
              </w:rPr>
              <w:t>成文日期</w:t>
            </w:r>
          </w:p>
        </w:tc>
        <w:tc>
          <w:tcPr>
            <w:tcW w:w="2706" w:type="dxa"/>
            <w:tcBorders>
              <w:top w:val="single" w:color="000000" w:sz="6" w:space="0"/>
              <w:left w:val="single" w:color="000000" w:sz="6" w:space="0"/>
              <w:bottom w:val="single" w:color="000000" w:sz="6" w:space="0"/>
              <w:right w:val="single" w:color="000000" w:sz="6" w:space="0"/>
            </w:tcBorders>
            <w:noWrap w:val="0"/>
            <w:vAlign w:val="top"/>
          </w:tcPr>
          <w:p>
            <w:pPr>
              <w:pStyle w:val="28"/>
              <w:spacing w:line="277" w:lineRule="exact"/>
              <w:ind w:left="-2" w:right="0"/>
              <w:jc w:val="left"/>
              <w:rPr>
                <w:rFonts w:ascii="仿宋_GB2312" w:hAnsi="仿宋_GB2312" w:eastAsia="仿宋_GB2312" w:cs="仿宋_GB2312"/>
                <w:sz w:val="24"/>
                <w:szCs w:val="24"/>
              </w:rPr>
            </w:pPr>
            <w:r>
              <w:rPr>
                <w:rFonts w:ascii="仿宋_GB2312"/>
                <w:sz w:val="24"/>
              </w:rPr>
              <w:t>2021-0</w:t>
            </w:r>
            <w:r>
              <w:rPr>
                <w:rFonts w:hint="eastAsia" w:ascii="仿宋_GB2312"/>
                <w:sz w:val="24"/>
                <w:lang w:val="en-US" w:eastAsia="zh-CN"/>
              </w:rPr>
              <w:t>9</w:t>
            </w:r>
            <w:r>
              <w:rPr>
                <w:rFonts w:ascii="仿宋_GB2312"/>
                <w:sz w:val="24"/>
              </w:rPr>
              <w:t>-26</w:t>
            </w:r>
          </w:p>
        </w:tc>
      </w:tr>
      <w:tr>
        <w:tblPrEx>
          <w:tblCellMar>
            <w:top w:w="0" w:type="dxa"/>
            <w:left w:w="0" w:type="dxa"/>
            <w:bottom w:w="0" w:type="dxa"/>
            <w:right w:w="0" w:type="dxa"/>
          </w:tblCellMar>
        </w:tblPrEx>
        <w:trPr>
          <w:trHeight w:val="326" w:hRule="exact"/>
        </w:trPr>
        <w:tc>
          <w:tcPr>
            <w:tcW w:w="1805" w:type="dxa"/>
            <w:tcBorders>
              <w:top w:val="single" w:color="000000" w:sz="6" w:space="0"/>
              <w:left w:val="single" w:color="000000" w:sz="6" w:space="0"/>
              <w:bottom w:val="single" w:color="000000" w:sz="6" w:space="0"/>
              <w:right w:val="single" w:color="000000" w:sz="6" w:space="0"/>
            </w:tcBorders>
            <w:noWrap w:val="0"/>
            <w:vAlign w:val="top"/>
          </w:tcPr>
          <w:p>
            <w:pPr>
              <w:pStyle w:val="28"/>
              <w:spacing w:line="274" w:lineRule="exact"/>
              <w:ind w:right="0"/>
              <w:jc w:val="left"/>
              <w:rPr>
                <w:rFonts w:ascii="仿宋_GB2312" w:hAnsi="仿宋_GB2312" w:eastAsia="仿宋_GB2312" w:cs="仿宋_GB2312"/>
                <w:sz w:val="24"/>
                <w:szCs w:val="24"/>
              </w:rPr>
            </w:pPr>
            <w:r>
              <w:rPr>
                <w:rFonts w:ascii="仿宋_GB2312" w:hAnsi="仿宋_GB2312" w:eastAsia="仿宋_GB2312" w:cs="仿宋_GB2312"/>
                <w:sz w:val="24"/>
                <w:szCs w:val="24"/>
              </w:rPr>
              <w:t>文件字号</w:t>
            </w:r>
          </w:p>
        </w:tc>
        <w:tc>
          <w:tcPr>
            <w:tcW w:w="2863" w:type="dxa"/>
            <w:tcBorders>
              <w:top w:val="single" w:color="000000" w:sz="6" w:space="0"/>
              <w:left w:val="single" w:color="000000" w:sz="6" w:space="0"/>
              <w:bottom w:val="single" w:color="000000" w:sz="6" w:space="0"/>
              <w:right w:val="single" w:color="000000" w:sz="6" w:space="0"/>
            </w:tcBorders>
            <w:noWrap w:val="0"/>
            <w:vAlign w:val="top"/>
          </w:tcPr>
          <w:p>
            <w:pPr>
              <w:pStyle w:val="28"/>
              <w:spacing w:line="274" w:lineRule="exact"/>
              <w:ind w:right="0"/>
              <w:jc w:val="left"/>
              <w:rPr>
                <w:rFonts w:ascii="仿宋_GB2312" w:hAnsi="仿宋_GB2312" w:eastAsia="仿宋_GB2312" w:cs="仿宋_GB2312"/>
                <w:sz w:val="24"/>
                <w:szCs w:val="24"/>
              </w:rPr>
            </w:pPr>
            <w:r>
              <w:rPr>
                <w:rFonts w:ascii="仿宋_GB2312" w:hAnsi="仿宋_GB2312" w:eastAsia="仿宋_GB2312" w:cs="仿宋_GB2312"/>
                <w:sz w:val="24"/>
                <w:szCs w:val="24"/>
              </w:rPr>
              <w:t>青李沧政</w:t>
            </w:r>
            <w:r>
              <w:rPr>
                <w:rFonts w:hint="eastAsia" w:ascii="仿宋_GB2312" w:hAnsi="仿宋_GB2312" w:cs="仿宋_GB2312"/>
                <w:sz w:val="24"/>
                <w:szCs w:val="24"/>
                <w:lang w:val="en-US" w:eastAsia="zh-CN"/>
              </w:rPr>
              <w:t>办</w:t>
            </w:r>
            <w:r>
              <w:rPr>
                <w:rFonts w:ascii="仿宋_GB2312" w:hAnsi="仿宋_GB2312" w:eastAsia="仿宋_GB2312" w:cs="仿宋_GB2312"/>
                <w:sz w:val="24"/>
                <w:szCs w:val="24"/>
              </w:rPr>
              <w:t>发〔2021〕</w:t>
            </w:r>
            <w:r>
              <w:rPr>
                <w:rFonts w:hint="eastAsia" w:ascii="仿宋_GB2312" w:hAnsi="仿宋_GB2312" w:cs="仿宋_GB2312"/>
                <w:sz w:val="24"/>
                <w:szCs w:val="24"/>
                <w:lang w:val="en-US" w:eastAsia="zh-CN"/>
              </w:rPr>
              <w:t>39</w:t>
            </w:r>
            <w:r>
              <w:rPr>
                <w:rFonts w:ascii="仿宋_GB2312" w:hAnsi="仿宋_GB2312" w:eastAsia="仿宋_GB2312" w:cs="仿宋_GB2312"/>
                <w:spacing w:val="-60"/>
                <w:sz w:val="24"/>
                <w:szCs w:val="24"/>
              </w:rPr>
              <w:t xml:space="preserve"> </w:t>
            </w:r>
            <w:r>
              <w:rPr>
                <w:rFonts w:ascii="仿宋_GB2312" w:hAnsi="仿宋_GB2312" w:eastAsia="仿宋_GB2312" w:cs="仿宋_GB2312"/>
                <w:sz w:val="24"/>
                <w:szCs w:val="24"/>
              </w:rPr>
              <w:t>号</w:t>
            </w:r>
          </w:p>
        </w:tc>
        <w:tc>
          <w:tcPr>
            <w:tcW w:w="1687" w:type="dxa"/>
            <w:tcBorders>
              <w:top w:val="single" w:color="000000" w:sz="6" w:space="0"/>
              <w:left w:val="single" w:color="000000" w:sz="6" w:space="0"/>
              <w:bottom w:val="single" w:color="000000" w:sz="6" w:space="0"/>
              <w:right w:val="single" w:color="000000" w:sz="6" w:space="0"/>
            </w:tcBorders>
            <w:noWrap w:val="0"/>
            <w:vAlign w:val="top"/>
          </w:tcPr>
          <w:p>
            <w:pPr>
              <w:pStyle w:val="28"/>
              <w:spacing w:line="274" w:lineRule="exact"/>
              <w:ind w:right="0"/>
              <w:jc w:val="left"/>
              <w:rPr>
                <w:rFonts w:ascii="仿宋_GB2312" w:hAnsi="仿宋_GB2312" w:eastAsia="仿宋_GB2312" w:cs="仿宋_GB2312"/>
                <w:sz w:val="24"/>
                <w:szCs w:val="24"/>
              </w:rPr>
            </w:pPr>
            <w:r>
              <w:rPr>
                <w:rFonts w:ascii="仿宋_GB2312" w:hAnsi="仿宋_GB2312" w:eastAsia="仿宋_GB2312" w:cs="仿宋_GB2312"/>
                <w:sz w:val="24"/>
                <w:szCs w:val="24"/>
              </w:rPr>
              <w:t>政策咨询部门</w:t>
            </w:r>
          </w:p>
        </w:tc>
        <w:tc>
          <w:tcPr>
            <w:tcW w:w="2706" w:type="dxa"/>
            <w:tcBorders>
              <w:top w:val="single" w:color="000000" w:sz="6" w:space="0"/>
              <w:left w:val="single" w:color="000000" w:sz="6" w:space="0"/>
              <w:bottom w:val="single" w:color="000000" w:sz="6" w:space="0"/>
              <w:right w:val="single" w:color="000000" w:sz="6" w:space="0"/>
            </w:tcBorders>
            <w:noWrap w:val="0"/>
            <w:vAlign w:val="top"/>
          </w:tcPr>
          <w:p>
            <w:pPr>
              <w:pStyle w:val="28"/>
              <w:spacing w:line="274" w:lineRule="exact"/>
              <w:ind w:left="-2" w:right="0"/>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区市场监督管理局</w:t>
            </w:r>
          </w:p>
        </w:tc>
      </w:tr>
      <w:tr>
        <w:tblPrEx>
          <w:tblCellMar>
            <w:top w:w="0" w:type="dxa"/>
            <w:left w:w="0" w:type="dxa"/>
            <w:bottom w:w="0" w:type="dxa"/>
            <w:right w:w="0" w:type="dxa"/>
          </w:tblCellMar>
        </w:tblPrEx>
        <w:trPr>
          <w:trHeight w:val="326" w:hRule="exact"/>
        </w:trPr>
        <w:tc>
          <w:tcPr>
            <w:tcW w:w="1805" w:type="dxa"/>
            <w:tcBorders>
              <w:top w:val="single" w:color="000000" w:sz="6" w:space="0"/>
              <w:left w:val="single" w:color="000000" w:sz="6" w:space="0"/>
              <w:bottom w:val="single" w:color="000000" w:sz="6" w:space="0"/>
              <w:right w:val="single" w:color="000000" w:sz="6" w:space="0"/>
            </w:tcBorders>
            <w:noWrap w:val="0"/>
            <w:vAlign w:val="top"/>
          </w:tcPr>
          <w:p>
            <w:pPr>
              <w:pStyle w:val="28"/>
              <w:spacing w:line="275" w:lineRule="exact"/>
              <w:ind w:right="0"/>
              <w:jc w:val="left"/>
              <w:rPr>
                <w:rFonts w:ascii="仿宋_GB2312" w:hAnsi="仿宋_GB2312" w:eastAsia="仿宋_GB2312" w:cs="仿宋_GB2312"/>
                <w:sz w:val="24"/>
                <w:szCs w:val="24"/>
              </w:rPr>
            </w:pPr>
            <w:r>
              <w:rPr>
                <w:rFonts w:ascii="仿宋_GB2312" w:hAnsi="仿宋_GB2312" w:eastAsia="仿宋_GB2312" w:cs="仿宋_GB2312"/>
                <w:sz w:val="24"/>
                <w:szCs w:val="24"/>
              </w:rPr>
              <w:t>有无政策解读</w:t>
            </w:r>
          </w:p>
        </w:tc>
        <w:tc>
          <w:tcPr>
            <w:tcW w:w="2863" w:type="dxa"/>
            <w:tcBorders>
              <w:top w:val="single" w:color="000000" w:sz="6" w:space="0"/>
              <w:left w:val="single" w:color="000000" w:sz="6" w:space="0"/>
              <w:bottom w:val="single" w:color="000000" w:sz="6" w:space="0"/>
              <w:right w:val="single" w:color="000000" w:sz="6" w:space="0"/>
            </w:tcBorders>
            <w:noWrap w:val="0"/>
            <w:vAlign w:val="top"/>
          </w:tcPr>
          <w:p>
            <w:pPr>
              <w:pStyle w:val="28"/>
              <w:spacing w:line="275" w:lineRule="exact"/>
              <w:ind w:right="0"/>
              <w:jc w:val="left"/>
              <w:rPr>
                <w:rFonts w:hint="default" w:ascii="仿宋_GB2312" w:hAnsi="仿宋_GB2312" w:eastAsia="仿宋_GB2312" w:cs="仿宋_GB2312"/>
                <w:sz w:val="24"/>
                <w:szCs w:val="24"/>
                <w:lang w:val="en-US" w:eastAsia="zh-CN"/>
              </w:rPr>
            </w:pPr>
            <w:r>
              <w:rPr>
                <w:rFonts w:hint="eastAsia" w:ascii="仿宋_GB2312" w:hAnsi="仿宋_GB2312" w:cs="仿宋_GB2312"/>
                <w:sz w:val="24"/>
                <w:szCs w:val="24"/>
                <w:lang w:val="en-US" w:eastAsia="zh-CN"/>
              </w:rPr>
              <w:t>无</w:t>
            </w:r>
          </w:p>
        </w:tc>
        <w:tc>
          <w:tcPr>
            <w:tcW w:w="1687" w:type="dxa"/>
            <w:tcBorders>
              <w:top w:val="single" w:color="000000" w:sz="6" w:space="0"/>
              <w:left w:val="single" w:color="000000" w:sz="6" w:space="0"/>
              <w:bottom w:val="single" w:color="000000" w:sz="6" w:space="0"/>
              <w:right w:val="single" w:color="000000" w:sz="6" w:space="0"/>
            </w:tcBorders>
            <w:noWrap w:val="0"/>
            <w:vAlign w:val="top"/>
          </w:tcPr>
          <w:p>
            <w:pPr>
              <w:pStyle w:val="28"/>
              <w:spacing w:line="275" w:lineRule="exact"/>
              <w:ind w:right="0"/>
              <w:jc w:val="left"/>
              <w:rPr>
                <w:rFonts w:ascii="仿宋_GB2312" w:hAnsi="仿宋_GB2312" w:eastAsia="仿宋_GB2312" w:cs="仿宋_GB2312"/>
                <w:sz w:val="24"/>
                <w:szCs w:val="24"/>
              </w:rPr>
            </w:pPr>
            <w:r>
              <w:rPr>
                <w:rFonts w:ascii="仿宋_GB2312" w:hAnsi="仿宋_GB2312" w:eastAsia="仿宋_GB2312" w:cs="仿宋_GB2312"/>
                <w:sz w:val="24"/>
                <w:szCs w:val="24"/>
              </w:rPr>
              <w:t>政策咨询电话</w:t>
            </w:r>
          </w:p>
        </w:tc>
        <w:tc>
          <w:tcPr>
            <w:tcW w:w="2706" w:type="dxa"/>
            <w:tcBorders>
              <w:top w:val="single" w:color="000000" w:sz="6" w:space="0"/>
              <w:left w:val="single" w:color="000000" w:sz="6" w:space="0"/>
              <w:bottom w:val="single" w:color="000000" w:sz="6" w:space="0"/>
              <w:right w:val="single" w:color="000000" w:sz="6" w:space="0"/>
            </w:tcBorders>
            <w:noWrap w:val="0"/>
            <w:vAlign w:val="top"/>
          </w:tcPr>
          <w:p>
            <w:pPr>
              <w:pStyle w:val="28"/>
              <w:spacing w:line="275" w:lineRule="exact"/>
              <w:ind w:left="-2" w:right="0"/>
              <w:jc w:val="left"/>
              <w:rPr>
                <w:rFonts w:ascii="仿宋_GB2312" w:hAnsi="仿宋_GB2312" w:eastAsia="仿宋_GB2312" w:cs="仿宋_GB2312"/>
                <w:sz w:val="24"/>
                <w:szCs w:val="24"/>
              </w:rPr>
            </w:pPr>
            <w:r>
              <w:rPr>
                <w:rFonts w:hint="eastAsia" w:ascii="仿宋_GB2312"/>
                <w:sz w:val="24"/>
              </w:rPr>
              <w:t>0532-87660872</w:t>
            </w:r>
          </w:p>
        </w:tc>
      </w:tr>
    </w:tbl>
    <w:p>
      <w:pPr>
        <w:spacing w:line="370" w:lineRule="exact"/>
        <w:jc w:val="center"/>
        <w:rPr>
          <w:rFonts w:ascii="仿宋_GB2312"/>
        </w:rPr>
      </w:pPr>
    </w:p>
    <w:p>
      <w:pPr>
        <w:spacing w:line="520" w:lineRule="exact"/>
        <w:rPr>
          <w:rFonts w:ascii="方正小标宋_GBK" w:eastAsia="方正小标宋_GBK"/>
          <w:szCs w:val="32"/>
        </w:rPr>
      </w:pPr>
    </w:p>
    <w:p>
      <w:pPr>
        <w:spacing w:line="560" w:lineRule="exact"/>
        <w:jc w:val="center"/>
        <w:rPr>
          <w:rFonts w:ascii="方正小标宋_GBK" w:eastAsia="方正小标宋_GBK"/>
          <w:sz w:val="44"/>
          <w:szCs w:val="44"/>
        </w:rPr>
      </w:pPr>
      <w:r>
        <w:rPr>
          <w:rFonts w:hint="eastAsia" w:ascii="方正小标宋_GBK" w:eastAsia="方正小标宋_GBK"/>
          <w:sz w:val="44"/>
          <w:szCs w:val="44"/>
        </w:rPr>
        <w:t>李沧区人民政府办公室</w:t>
      </w:r>
    </w:p>
    <w:p>
      <w:pPr>
        <w:spacing w:line="560" w:lineRule="exact"/>
        <w:jc w:val="center"/>
        <w:rPr>
          <w:rFonts w:ascii="方正小标宋_GBK" w:hAnsi="宋体" w:eastAsia="方正小标宋_GBK"/>
          <w:sz w:val="44"/>
          <w:szCs w:val="44"/>
        </w:rPr>
      </w:pPr>
      <w:r>
        <w:rPr>
          <w:rFonts w:hint="eastAsia" w:ascii="方正小标宋_GBK" w:hAnsi="宋体" w:eastAsia="方正小标宋_GBK"/>
          <w:sz w:val="44"/>
          <w:szCs w:val="44"/>
        </w:rPr>
        <w:t>关于印发《李沧区质量品牌提升专项资金管理办法》的通知</w:t>
      </w:r>
    </w:p>
    <w:p>
      <w:pPr>
        <w:spacing w:line="560" w:lineRule="exact"/>
        <w:jc w:val="center"/>
        <w:rPr>
          <w:rFonts w:ascii="方正小标宋_GBK" w:hAnsi="宋体" w:eastAsia="方正小标宋_GBK"/>
          <w:sz w:val="44"/>
          <w:szCs w:val="44"/>
        </w:rPr>
      </w:pPr>
    </w:p>
    <w:p>
      <w:pPr>
        <w:spacing w:line="560" w:lineRule="exact"/>
        <w:rPr>
          <w:rFonts w:ascii="仿宋_GB2312"/>
        </w:rPr>
      </w:pPr>
      <w:r>
        <w:rPr>
          <w:rFonts w:hint="eastAsia" w:ascii="仿宋_GB2312"/>
        </w:rPr>
        <w:t>各街道办事处,区政府各部门,区直各单位,驻区各有关单位，区属各国有企业:</w:t>
      </w:r>
    </w:p>
    <w:p>
      <w:pPr>
        <w:spacing w:line="560" w:lineRule="exact"/>
        <w:ind w:firstLine="640" w:firstLineChars="200"/>
        <w:rPr>
          <w:rFonts w:ascii="仿宋_GB2312"/>
        </w:rPr>
      </w:pPr>
      <w:r>
        <w:rPr>
          <w:rFonts w:hint="eastAsia" w:ascii="仿宋_GB2312"/>
        </w:rPr>
        <w:t>《李沧区质量品牌提升专项资金管理办法》已经区政府研究同意,现印发给你们,望认真遵照执行。</w:t>
      </w:r>
    </w:p>
    <w:p>
      <w:pPr>
        <w:spacing w:line="560" w:lineRule="exact"/>
        <w:ind w:firstLine="640" w:firstLineChars="200"/>
        <w:rPr>
          <w:rFonts w:ascii="仿宋_GB2312"/>
        </w:rPr>
      </w:pPr>
    </w:p>
    <w:p>
      <w:pPr>
        <w:tabs>
          <w:tab w:val="left" w:pos="8080"/>
          <w:tab w:val="left" w:pos="8222"/>
        </w:tabs>
        <w:spacing w:line="560" w:lineRule="exact"/>
        <w:ind w:firstLine="4960" w:firstLineChars="1550"/>
        <w:rPr>
          <w:rFonts w:ascii="仿宋_GB2312"/>
          <w:szCs w:val="32"/>
        </w:rPr>
      </w:pPr>
      <w:r>
        <w:rPr>
          <w:rFonts w:hint="eastAsia" w:ascii="仿宋_GB2312"/>
          <w:szCs w:val="32"/>
        </w:rPr>
        <w:t>李沧区人民政府办公室</w:t>
      </w:r>
    </w:p>
    <w:p>
      <w:pPr>
        <w:spacing w:line="560" w:lineRule="exact"/>
        <w:ind w:firstLine="5641" w:firstLineChars="1763"/>
        <w:rPr>
          <w:rFonts w:ascii="仿宋_GB2312"/>
          <w:szCs w:val="32"/>
        </w:rPr>
      </w:pPr>
      <w:r>
        <w:rPr>
          <w:rFonts w:hint="eastAsia" w:ascii="仿宋_GB2312"/>
          <w:szCs w:val="32"/>
        </w:rPr>
        <w:t>20</w:t>
      </w:r>
      <w:r>
        <w:rPr>
          <w:rFonts w:ascii="仿宋_GB2312"/>
          <w:szCs w:val="32"/>
        </w:rPr>
        <w:t>21</w:t>
      </w:r>
      <w:r>
        <w:rPr>
          <w:rFonts w:hint="eastAsia" w:ascii="仿宋_GB2312"/>
          <w:szCs w:val="32"/>
        </w:rPr>
        <w:t>年</w:t>
      </w:r>
      <w:r>
        <w:rPr>
          <w:rFonts w:ascii="仿宋_GB2312"/>
          <w:szCs w:val="32"/>
        </w:rPr>
        <w:t>9</w:t>
      </w:r>
      <w:r>
        <w:rPr>
          <w:rFonts w:hint="eastAsia" w:ascii="仿宋_GB2312"/>
          <w:szCs w:val="32"/>
        </w:rPr>
        <w:t>月</w:t>
      </w:r>
      <w:r>
        <w:rPr>
          <w:rFonts w:ascii="仿宋_GB2312"/>
          <w:szCs w:val="32"/>
        </w:rPr>
        <w:t>17</w:t>
      </w:r>
      <w:r>
        <w:rPr>
          <w:rFonts w:hint="eastAsia" w:ascii="仿宋_GB2312"/>
          <w:szCs w:val="32"/>
        </w:rPr>
        <w:t>日</w:t>
      </w:r>
    </w:p>
    <w:p>
      <w:pPr>
        <w:spacing w:line="560" w:lineRule="exact"/>
        <w:ind w:firstLine="640" w:firstLineChars="200"/>
        <w:rPr>
          <w:rFonts w:ascii="仿宋_GB2312"/>
        </w:rPr>
      </w:pPr>
      <w:r>
        <w:rPr>
          <w:rFonts w:hint="eastAsia" w:ascii="仿宋_GB2312"/>
        </w:rPr>
        <w:t>（此件公开发布）</w:t>
      </w:r>
    </w:p>
    <w:p>
      <w:pPr>
        <w:spacing w:line="560" w:lineRule="exact"/>
        <w:jc w:val="center"/>
        <w:rPr>
          <w:rFonts w:ascii="方正小标宋_GBK" w:eastAsia="方正小标宋_GBK"/>
          <w:sz w:val="44"/>
          <w:szCs w:val="44"/>
        </w:rPr>
      </w:pPr>
      <w:r>
        <w:rPr>
          <w:rFonts w:hint="eastAsia" w:ascii="方正小标宋_GBK" w:hAnsi="仿宋_GB2312" w:eastAsia="方正小标宋_GBK" w:cs="仿宋_GB2312"/>
          <w:sz w:val="44"/>
          <w:szCs w:val="44"/>
          <w:shd w:val="clear" w:color="auto" w:fill="FFFFFF"/>
        </w:rPr>
        <w:t>李沧区质量</w:t>
      </w:r>
      <w:r>
        <w:rPr>
          <w:rFonts w:hint="eastAsia" w:ascii="方正小标宋_GBK" w:eastAsia="方正小标宋_GBK"/>
          <w:sz w:val="44"/>
          <w:szCs w:val="44"/>
        </w:rPr>
        <w:t>品牌提升专项资金管理办法</w:t>
      </w:r>
    </w:p>
    <w:p>
      <w:pPr>
        <w:spacing w:line="560" w:lineRule="exact"/>
        <w:rPr>
          <w:rFonts w:ascii="黑体" w:hAnsi="仿宋_GB2312" w:eastAsia="黑体" w:cs="仿宋_GB2312"/>
          <w:szCs w:val="32"/>
          <w:shd w:val="clear" w:color="auto" w:fill="FFFFFF"/>
        </w:rPr>
      </w:pPr>
    </w:p>
    <w:p>
      <w:pPr>
        <w:spacing w:line="560" w:lineRule="exact"/>
        <w:jc w:val="center"/>
        <w:rPr>
          <w:rFonts w:ascii="黑体" w:eastAsia="黑体"/>
          <w:szCs w:val="32"/>
        </w:rPr>
      </w:pPr>
      <w:r>
        <w:rPr>
          <w:rFonts w:hint="eastAsia" w:ascii="黑体" w:eastAsia="黑体"/>
          <w:szCs w:val="32"/>
        </w:rPr>
        <w:t>第一章  总则</w:t>
      </w:r>
    </w:p>
    <w:p>
      <w:pPr>
        <w:spacing w:line="560" w:lineRule="exact"/>
        <w:ind w:firstLine="640" w:firstLineChars="200"/>
        <w:rPr>
          <w:rFonts w:ascii="仿宋_GB2312"/>
        </w:rPr>
      </w:pPr>
      <w:r>
        <w:rPr>
          <w:rFonts w:hint="eastAsia" w:ascii="楷体_GB2312" w:eastAsia="楷体_GB2312"/>
          <w:b/>
        </w:rPr>
        <w:t>第一条</w:t>
      </w:r>
      <w:r>
        <w:rPr>
          <w:rFonts w:hint="eastAsia" w:ascii="仿宋_GB2312"/>
        </w:rPr>
        <w:t xml:space="preserve"> 为深入实施质量提升行动，持续推进质量强区战略，推动优势企业创新转型发展，提高企业综合竞争力，提升区域品牌竞争力和影响力，促进李沧新旧动能转换和经济社会高质量发展，根据《中共青岛市委 青岛市人民政府印发&lt;关于开展质量提升行动的实施方案&gt;的通知》（青发〔2018〕63号）、《青岛市人民政府印发关于促进先进制造业加快发展若干政策的通知》（青政发〔2017〕4号）、《青岛市人民政府办公厅关于印发青岛市标准化资助奖励资金管理办法的通知》（青政办发〔2017〕13号）和《青岛市人民政府关于印发青岛市加强质量认证体系建设促进全面质量管理实施方案的通知》（青政发〔2019〕25号）及财政资金管理有关规定，结合本区质量品牌发展与建设的实际情况，制定本办法。</w:t>
      </w:r>
    </w:p>
    <w:p>
      <w:pPr>
        <w:spacing w:line="560" w:lineRule="exact"/>
        <w:ind w:firstLine="640" w:firstLineChars="200"/>
        <w:rPr>
          <w:rFonts w:ascii="仿宋_GB2312"/>
        </w:rPr>
      </w:pPr>
      <w:r>
        <w:rPr>
          <w:rFonts w:hint="eastAsia" w:ascii="楷体_GB2312" w:eastAsia="楷体_GB2312"/>
          <w:b/>
        </w:rPr>
        <w:t>第二条</w:t>
      </w:r>
      <w:r>
        <w:rPr>
          <w:rFonts w:hint="eastAsia" w:ascii="黑体" w:eastAsia="黑体"/>
          <w:szCs w:val="32"/>
        </w:rPr>
        <w:t xml:space="preserve"> </w:t>
      </w:r>
      <w:r>
        <w:rPr>
          <w:rFonts w:hint="eastAsia" w:ascii="仿宋_GB2312"/>
        </w:rPr>
        <w:t>李沧区质量品牌提升专项资金（以下简称“专项资金”）是李沧区政府贯彻落实国家、省和市关于促进质量品牌建设的相关政策，支持本区企业质量品牌和标准化发展与建设，推动区域品牌经济发展而设立的专项政策性扶持资金。</w:t>
      </w:r>
    </w:p>
    <w:p>
      <w:pPr>
        <w:spacing w:line="560" w:lineRule="exact"/>
        <w:ind w:firstLine="640" w:firstLineChars="200"/>
        <w:rPr>
          <w:rFonts w:ascii="黑体" w:eastAsia="黑体"/>
          <w:szCs w:val="32"/>
        </w:rPr>
      </w:pPr>
      <w:r>
        <w:rPr>
          <w:rFonts w:hint="eastAsia" w:ascii="楷体_GB2312" w:eastAsia="楷体_GB2312"/>
          <w:b/>
          <w:szCs w:val="32"/>
        </w:rPr>
        <w:t>第三条</w:t>
      </w:r>
      <w:r>
        <w:rPr>
          <w:rFonts w:hint="eastAsia" w:ascii="仿宋_GB2312"/>
        </w:rPr>
        <w:t xml:space="preserve"> 专项资金由区级财政预算安排，纳入李沧区市场监督管理局预算管理，按照预算资金的有关规定管理和使用。</w:t>
      </w:r>
    </w:p>
    <w:p>
      <w:pPr>
        <w:spacing w:line="560" w:lineRule="exact"/>
        <w:ind w:firstLine="640" w:firstLineChars="200"/>
        <w:rPr>
          <w:rFonts w:ascii="仿宋_GB2312"/>
        </w:rPr>
      </w:pPr>
      <w:r>
        <w:rPr>
          <w:rFonts w:hint="eastAsia" w:ascii="楷体_GB2312" w:eastAsia="楷体_GB2312"/>
          <w:b/>
          <w:szCs w:val="32"/>
        </w:rPr>
        <w:t xml:space="preserve">第四条 </w:t>
      </w:r>
      <w:r>
        <w:rPr>
          <w:rFonts w:hint="eastAsia" w:ascii="仿宋_GB2312"/>
        </w:rPr>
        <w:t>李沧区市场监督管理局是专项资金的主管机构，负责专项资金的审核、发放和管理等工作。</w:t>
      </w:r>
    </w:p>
    <w:p>
      <w:pPr>
        <w:spacing w:line="560" w:lineRule="exact"/>
        <w:ind w:firstLine="640" w:firstLineChars="200"/>
        <w:rPr>
          <w:rFonts w:ascii="仿宋_GB2312"/>
        </w:rPr>
      </w:pPr>
      <w:r>
        <w:rPr>
          <w:rFonts w:hint="eastAsia" w:ascii="楷体_GB2312" w:eastAsia="楷体_GB2312"/>
          <w:b/>
          <w:szCs w:val="32"/>
        </w:rPr>
        <w:t xml:space="preserve">第五条 </w:t>
      </w:r>
      <w:r>
        <w:rPr>
          <w:rFonts w:hint="eastAsia" w:ascii="仿宋_GB2312"/>
        </w:rPr>
        <w:t>专项资金的安排应当符合国家、省、市和区的产业政策，坚持公开、公平、公正的原则，确保专项资金规范、安全和高效使用，使本区质量品牌发展与建设更好地服务于李沧经济社会高质量发展。</w:t>
      </w:r>
    </w:p>
    <w:p>
      <w:pPr>
        <w:spacing w:line="560" w:lineRule="exact"/>
        <w:ind w:firstLine="640" w:firstLineChars="200"/>
        <w:rPr>
          <w:rFonts w:ascii="楷体_GB2312" w:eastAsia="楷体_GB2312"/>
          <w:b/>
          <w:szCs w:val="32"/>
        </w:rPr>
      </w:pPr>
    </w:p>
    <w:p>
      <w:pPr>
        <w:spacing w:line="560" w:lineRule="exact"/>
        <w:jc w:val="center"/>
        <w:rPr>
          <w:szCs w:val="32"/>
        </w:rPr>
      </w:pPr>
      <w:r>
        <w:rPr>
          <w:rFonts w:hint="eastAsia" w:ascii="黑体" w:eastAsia="黑体"/>
          <w:szCs w:val="32"/>
        </w:rPr>
        <w:t>第二章  扶持对象、范围和扶持标准</w:t>
      </w:r>
    </w:p>
    <w:p>
      <w:pPr>
        <w:spacing w:line="560" w:lineRule="exact"/>
        <w:ind w:firstLine="640" w:firstLineChars="200"/>
        <w:rPr>
          <w:rFonts w:ascii="仿宋_GB2312"/>
        </w:rPr>
      </w:pPr>
      <w:r>
        <w:rPr>
          <w:rFonts w:hint="eastAsia" w:ascii="楷体_GB2312" w:eastAsia="楷体_GB2312"/>
          <w:b/>
          <w:bCs/>
          <w:szCs w:val="32"/>
        </w:rPr>
        <w:t xml:space="preserve">第六条 </w:t>
      </w:r>
      <w:r>
        <w:rPr>
          <w:rFonts w:hint="eastAsia" w:ascii="仿宋_GB2312"/>
        </w:rPr>
        <w:t>专项资金的支持对象为依法在本区从事经营活动的合法主体。</w:t>
      </w:r>
    </w:p>
    <w:p>
      <w:pPr>
        <w:spacing w:line="560" w:lineRule="exact"/>
        <w:ind w:firstLine="640" w:firstLineChars="200"/>
        <w:rPr>
          <w:rFonts w:ascii="仿宋_GB2312"/>
        </w:rPr>
      </w:pPr>
      <w:r>
        <w:rPr>
          <w:rFonts w:hint="eastAsia" w:ascii="楷体_GB2312" w:eastAsia="楷体_GB2312"/>
          <w:b/>
          <w:bCs/>
          <w:szCs w:val="32"/>
        </w:rPr>
        <w:t xml:space="preserve">第七条 </w:t>
      </w:r>
      <w:r>
        <w:rPr>
          <w:rFonts w:hint="eastAsia" w:ascii="仿宋_GB2312"/>
        </w:rPr>
        <w:t>专项资金的使用范围：获得政府部门认定的驰名商标的组织；获得中国质量奖、山东省省长质量奖、青岛市市长质量奖的组织；通过“泰山品质”认证的组织；主导、主持和参与国际标准、国家标准、行业标准、团体标准制修订的组织；承担国家级、省级和市级标准化试点示范项目的组织；获得标准化良好行为证书的组织；通过青岛标准先进性评价的组织。</w:t>
      </w:r>
    </w:p>
    <w:p>
      <w:pPr>
        <w:spacing w:line="560" w:lineRule="exact"/>
        <w:ind w:firstLine="630"/>
        <w:rPr>
          <w:rFonts w:ascii="仿宋_GB2312"/>
        </w:rPr>
      </w:pPr>
      <w:r>
        <w:rPr>
          <w:rFonts w:hint="eastAsia" w:ascii="楷体_GB2312" w:hAnsi="楷体_GB2312" w:eastAsia="楷体_GB2312" w:cs="楷体_GB2312"/>
          <w:b/>
          <w:bCs/>
          <w:szCs w:val="32"/>
        </w:rPr>
        <w:t xml:space="preserve">第八条 </w:t>
      </w:r>
      <w:r>
        <w:rPr>
          <w:rFonts w:hint="eastAsia" w:ascii="仿宋_GB2312"/>
        </w:rPr>
        <w:t>专项资金仅适用对第七条规定的使用范围，复评、续展、变更、转让等情形不给予奖励。</w:t>
      </w:r>
    </w:p>
    <w:p>
      <w:pPr>
        <w:spacing w:line="560" w:lineRule="exact"/>
        <w:ind w:firstLine="645"/>
        <w:rPr>
          <w:rFonts w:ascii="仿宋_GB2312"/>
        </w:rPr>
      </w:pPr>
      <w:r>
        <w:rPr>
          <w:rFonts w:hint="eastAsia" w:ascii="仿宋_GB2312"/>
        </w:rPr>
        <w:t>一般公司、集团公司等法人组织与其下属公司、子公司、分公司、关联关系公司等均视为同一申请人。同一申请人、同一项目，在同一年度内，同时获得2个及以上奖项的，仅按对应奖项中最高等次的奖项给予扶持。</w:t>
      </w:r>
    </w:p>
    <w:p>
      <w:pPr>
        <w:spacing w:line="560" w:lineRule="exact"/>
        <w:ind w:firstLine="645"/>
        <w:rPr>
          <w:rFonts w:ascii="仿宋_GB2312" w:hAnsi="楷体_GB2312" w:cs="楷体_GB2312"/>
          <w:bCs/>
          <w:szCs w:val="32"/>
        </w:rPr>
      </w:pPr>
      <w:r>
        <w:rPr>
          <w:rFonts w:hint="eastAsia" w:ascii="楷体_GB2312" w:hAnsi="楷体_GB2312" w:eastAsia="楷体_GB2312" w:cs="楷体_GB2312"/>
          <w:b/>
          <w:bCs/>
          <w:szCs w:val="32"/>
        </w:rPr>
        <w:t xml:space="preserve">第九条 </w:t>
      </w:r>
      <w:r>
        <w:rPr>
          <w:rFonts w:hint="eastAsia" w:ascii="仿宋_GB2312" w:hAnsi="仿宋_GB2312" w:cs="仿宋_GB2312"/>
          <w:szCs w:val="32"/>
        </w:rPr>
        <w:t>扶持采用资金奖励的方式。</w:t>
      </w:r>
    </w:p>
    <w:p>
      <w:pPr>
        <w:spacing w:line="560" w:lineRule="exact"/>
        <w:ind w:firstLine="640" w:firstLineChars="200"/>
        <w:rPr>
          <w:rFonts w:ascii="仿宋_GB2312"/>
        </w:rPr>
      </w:pPr>
      <w:r>
        <w:rPr>
          <w:rFonts w:hint="eastAsia" w:ascii="楷体_GB2312" w:hAnsi="楷体_GB2312" w:eastAsia="楷体_GB2312" w:cs="楷体_GB2312"/>
          <w:b/>
          <w:bCs/>
          <w:szCs w:val="32"/>
        </w:rPr>
        <w:t>第十条</w:t>
      </w:r>
      <w:r>
        <w:rPr>
          <w:rFonts w:hint="eastAsia" w:ascii="仿宋_GB2312" w:hAnsi="仿宋_GB2312" w:cs="仿宋_GB2312"/>
          <w:szCs w:val="32"/>
        </w:rPr>
        <w:t xml:space="preserve"> </w:t>
      </w:r>
      <w:r>
        <w:rPr>
          <w:rFonts w:hint="eastAsia" w:ascii="仿宋_GB2312"/>
        </w:rPr>
        <w:t>扶持项目及标准按照以下规定执行：</w:t>
      </w:r>
    </w:p>
    <w:p>
      <w:pPr>
        <w:spacing w:line="560" w:lineRule="exact"/>
        <w:ind w:firstLine="630"/>
        <w:rPr>
          <w:rFonts w:ascii="仿宋_GB2312"/>
        </w:rPr>
      </w:pPr>
      <w:r>
        <w:rPr>
          <w:rFonts w:hint="eastAsia" w:ascii="仿宋_GB2312"/>
        </w:rPr>
        <w:t>（一）新获得“中国驰名商标”的组织，产品类按照市奖励政策规定的标准给予一次性奖励，区级不再进行扶持奖励；服务类按照30万的标准给予一次性区级扶持奖励。</w:t>
      </w:r>
    </w:p>
    <w:p>
      <w:pPr>
        <w:spacing w:line="560" w:lineRule="exact"/>
        <w:ind w:firstLine="630"/>
        <w:rPr>
          <w:rFonts w:ascii="仿宋_GB2312"/>
        </w:rPr>
      </w:pPr>
      <w:r>
        <w:rPr>
          <w:rFonts w:hint="eastAsia" w:ascii="仿宋_GB2312"/>
        </w:rPr>
        <w:t>（二）新获得“中国质量奖”、“山东省省长质量奖”和“青岛市市长质量奖”的组织，按照市奖励政策规定的标准给予一次性奖励，区级不再进行扶持奖励。</w:t>
      </w:r>
    </w:p>
    <w:p>
      <w:pPr>
        <w:spacing w:line="560" w:lineRule="exact"/>
        <w:ind w:firstLine="630"/>
        <w:rPr>
          <w:rFonts w:ascii="仿宋_GB2312"/>
        </w:rPr>
      </w:pPr>
      <w:r>
        <w:rPr>
          <w:rFonts w:hint="eastAsia" w:ascii="仿宋_GB2312"/>
        </w:rPr>
        <w:t>（三）通过“泰山品质”认证的组织，按照市奖励政策规定的标准给予一次性奖励，区级不再进行扶持奖励。</w:t>
      </w:r>
    </w:p>
    <w:p>
      <w:pPr>
        <w:spacing w:line="560" w:lineRule="exact"/>
        <w:ind w:firstLine="630"/>
        <w:rPr>
          <w:rFonts w:ascii="仿宋_GB2312"/>
        </w:rPr>
      </w:pPr>
      <w:r>
        <w:rPr>
          <w:rFonts w:hint="eastAsia" w:ascii="仿宋_GB2312"/>
        </w:rPr>
        <w:t>（四）主导、主持和参与国际标准、国家标准、行业标准、地方标准、团体标准制修订的组织，按照市区1:1比例给予一次性区级配套扶持奖励。</w:t>
      </w:r>
    </w:p>
    <w:p>
      <w:pPr>
        <w:spacing w:line="560" w:lineRule="exact"/>
        <w:ind w:firstLine="640" w:firstLineChars="200"/>
        <w:rPr>
          <w:rFonts w:ascii="仿宋_GB2312"/>
        </w:rPr>
      </w:pPr>
      <w:r>
        <w:rPr>
          <w:rFonts w:hint="eastAsia" w:ascii="仿宋_GB2312"/>
        </w:rPr>
        <w:t>（五）获得中国标准创新贡献奖的；获批创建国家技术标准创新基地、场馆、标准验证实验室和经国家推广的标准案例；通过验收的国家级、省级标准化试点示范项目的；承担国际、全国、省专业标准化技术委员会、分技术委员会秘书处工作的；组建或依托相关技术机构负责团体标准(联盟标准)制定工作的；新获AAAA级以上标准化良好行为企业证书的组织，按照市区1:1比例给予一次性区级配套扶持奖励。</w:t>
      </w:r>
    </w:p>
    <w:p>
      <w:pPr>
        <w:spacing w:line="560" w:lineRule="exact"/>
        <w:ind w:firstLine="640" w:firstLineChars="200"/>
        <w:rPr>
          <w:rFonts w:ascii="仿宋_GB2312"/>
        </w:rPr>
      </w:pPr>
      <w:r>
        <w:rPr>
          <w:rFonts w:hint="eastAsia" w:ascii="仿宋_GB2312"/>
        </w:rPr>
        <w:t>（六）通过青岛标准先进性评价的企业标准、团体标准的研制组织;通过验收的市级标准化试点示范项目组织，分别按照3万元的标准给予一次性区级扶持奖励。</w:t>
      </w:r>
    </w:p>
    <w:p>
      <w:pPr>
        <w:widowControl/>
        <w:spacing w:line="560" w:lineRule="exact"/>
        <w:jc w:val="center"/>
        <w:rPr>
          <w:rFonts w:ascii="仿宋_GB2312" w:hAnsi="Verdana" w:cs="宋体"/>
          <w:kern w:val="0"/>
          <w:szCs w:val="32"/>
        </w:rPr>
      </w:pPr>
      <w:r>
        <w:rPr>
          <w:rFonts w:hint="eastAsia" w:ascii="黑体" w:hAnsi="Verdana" w:eastAsia="黑体" w:cs="宋体"/>
          <w:kern w:val="0"/>
          <w:szCs w:val="32"/>
        </w:rPr>
        <w:t>第三章  申请条件和程序</w:t>
      </w:r>
    </w:p>
    <w:p>
      <w:pPr>
        <w:spacing w:line="560" w:lineRule="exact"/>
        <w:ind w:firstLine="640" w:firstLineChars="200"/>
        <w:rPr>
          <w:rFonts w:ascii="仿宋_GB2312"/>
        </w:rPr>
      </w:pPr>
      <w:r>
        <w:rPr>
          <w:rFonts w:hint="eastAsia" w:ascii="楷体_GB2312" w:eastAsia="楷体_GB2312"/>
          <w:b/>
          <w:bCs/>
          <w:szCs w:val="32"/>
        </w:rPr>
        <w:t xml:space="preserve">第十一条 </w:t>
      </w:r>
      <w:r>
        <w:rPr>
          <w:rFonts w:hint="eastAsia" w:ascii="仿宋_GB2312"/>
        </w:rPr>
        <w:t>符合扶持条件的企业或组织，自愿向李沧区市场监督管理局提出申请，并由李沧区市场监督管理局审核。</w:t>
      </w:r>
    </w:p>
    <w:p>
      <w:pPr>
        <w:spacing w:line="560" w:lineRule="exact"/>
        <w:ind w:firstLine="600"/>
        <w:rPr>
          <w:rFonts w:ascii="楷体_GB2312" w:eastAsia="楷体_GB2312"/>
          <w:b/>
          <w:bCs/>
          <w:szCs w:val="32"/>
        </w:rPr>
      </w:pPr>
      <w:r>
        <w:rPr>
          <w:rFonts w:hint="eastAsia" w:ascii="楷体_GB2312" w:eastAsia="楷体_GB2312"/>
          <w:b/>
          <w:bCs/>
          <w:szCs w:val="32"/>
        </w:rPr>
        <w:t>第十二条</w:t>
      </w:r>
      <w:r>
        <w:rPr>
          <w:rFonts w:hint="eastAsia" w:ascii="仿宋_GB2312"/>
          <w:bCs/>
          <w:szCs w:val="32"/>
        </w:rPr>
        <w:t xml:space="preserve"> 申请专项资金的单位，除应符合本办法第七条规定外，还应具备以下条件：</w:t>
      </w:r>
    </w:p>
    <w:p>
      <w:pPr>
        <w:spacing w:line="560" w:lineRule="exact"/>
        <w:ind w:firstLine="640" w:firstLineChars="200"/>
        <w:rPr>
          <w:rFonts w:ascii="仿宋_GB2312"/>
        </w:rPr>
      </w:pPr>
      <w:r>
        <w:rPr>
          <w:rFonts w:hint="eastAsia" w:ascii="仿宋_GB2312"/>
        </w:rPr>
        <w:t>（一）依法在本区成立满3年从事经营活动的合法主体；</w:t>
      </w:r>
    </w:p>
    <w:p>
      <w:pPr>
        <w:spacing w:line="560" w:lineRule="exact"/>
        <w:ind w:firstLine="640" w:firstLineChars="200"/>
        <w:rPr>
          <w:rFonts w:ascii="仿宋_GB2312"/>
        </w:rPr>
      </w:pPr>
      <w:r>
        <w:rPr>
          <w:rFonts w:hint="eastAsia" w:ascii="仿宋_GB2312"/>
        </w:rPr>
        <w:t>（二）</w:t>
      </w:r>
      <w:r>
        <w:rPr>
          <w:rFonts w:ascii="仿宋_GB2312"/>
        </w:rPr>
        <w:t>拥有注册商标，且在有效期内，范围涵盖申报产品</w:t>
      </w:r>
      <w:r>
        <w:rPr>
          <w:rFonts w:hint="eastAsia" w:ascii="仿宋_GB2312"/>
        </w:rPr>
        <w:t>；</w:t>
      </w:r>
    </w:p>
    <w:p>
      <w:pPr>
        <w:spacing w:line="560" w:lineRule="exact"/>
        <w:ind w:firstLine="630"/>
        <w:rPr>
          <w:rFonts w:ascii="仿宋_GB2312"/>
        </w:rPr>
      </w:pPr>
      <w:r>
        <w:rPr>
          <w:rFonts w:hint="eastAsia" w:ascii="仿宋_GB2312"/>
        </w:rPr>
        <w:t>（三）守法经营，依法纳税，财务状况良好，近三年内无不良信用记录，符合“绿色门槛”制度要求，近三年无重大质量、安全、环保责任事故；</w:t>
      </w:r>
    </w:p>
    <w:p>
      <w:pPr>
        <w:spacing w:line="560" w:lineRule="exact"/>
        <w:ind w:firstLine="630"/>
        <w:rPr>
          <w:rFonts w:ascii="仿宋_GB2312"/>
        </w:rPr>
      </w:pPr>
      <w:r>
        <w:rPr>
          <w:rFonts w:hint="eastAsia" w:ascii="仿宋_GB2312"/>
        </w:rPr>
        <w:t>（四）申报项目申请和资金使用者应为同一部门或单位；</w:t>
      </w:r>
    </w:p>
    <w:p>
      <w:pPr>
        <w:spacing w:line="560" w:lineRule="exact"/>
        <w:ind w:firstLine="630"/>
        <w:rPr>
          <w:rFonts w:ascii="仿宋_GB2312"/>
        </w:rPr>
      </w:pPr>
      <w:r>
        <w:rPr>
          <w:rFonts w:hint="eastAsia" w:ascii="仿宋_GB2312"/>
        </w:rPr>
        <w:t>（五）其他规定的条件。</w:t>
      </w:r>
    </w:p>
    <w:p>
      <w:pPr>
        <w:spacing w:line="560" w:lineRule="exact"/>
        <w:ind w:firstLine="600"/>
        <w:rPr>
          <w:rFonts w:ascii="仿宋_GB2312"/>
        </w:rPr>
      </w:pPr>
      <w:r>
        <w:rPr>
          <w:rFonts w:hint="eastAsia" w:ascii="楷体_GB2312" w:eastAsia="楷体_GB2312"/>
          <w:b/>
          <w:bCs/>
          <w:szCs w:val="32"/>
        </w:rPr>
        <w:t>第十三条</w:t>
      </w:r>
      <w:r>
        <w:rPr>
          <w:rFonts w:hint="eastAsia" w:ascii="仿宋_GB2312"/>
          <w:szCs w:val="32"/>
        </w:rPr>
        <w:t xml:space="preserve"> </w:t>
      </w:r>
      <w:r>
        <w:rPr>
          <w:rFonts w:hint="eastAsia" w:ascii="仿宋_GB2312"/>
        </w:rPr>
        <w:t>符合申报专项资金条件的单位，按照年度专项资金扶持项目的要求提供申请材料。</w:t>
      </w:r>
    </w:p>
    <w:p>
      <w:pPr>
        <w:spacing w:line="560" w:lineRule="exact"/>
        <w:jc w:val="center"/>
        <w:rPr>
          <w:rFonts w:ascii="仿宋_GB2312"/>
        </w:rPr>
      </w:pPr>
    </w:p>
    <w:p>
      <w:pPr>
        <w:spacing w:line="560" w:lineRule="exact"/>
        <w:jc w:val="center"/>
        <w:rPr>
          <w:rFonts w:ascii="仿宋_GB2312"/>
          <w:szCs w:val="32"/>
        </w:rPr>
      </w:pPr>
      <w:r>
        <w:rPr>
          <w:rFonts w:hint="eastAsia" w:ascii="黑体" w:eastAsia="黑体"/>
          <w:szCs w:val="32"/>
        </w:rPr>
        <w:t>第四章  审批下达与资金拨付</w:t>
      </w:r>
    </w:p>
    <w:p>
      <w:pPr>
        <w:spacing w:line="560" w:lineRule="exact"/>
        <w:ind w:firstLine="600"/>
        <w:rPr>
          <w:rFonts w:ascii="仿宋_GB2312"/>
          <w:szCs w:val="32"/>
        </w:rPr>
      </w:pPr>
      <w:r>
        <w:rPr>
          <w:rFonts w:hint="eastAsia" w:ascii="楷体_GB2312" w:eastAsia="楷体_GB2312"/>
          <w:b/>
          <w:bCs/>
          <w:szCs w:val="32"/>
        </w:rPr>
        <w:t xml:space="preserve">第十四条 </w:t>
      </w:r>
      <w:r>
        <w:rPr>
          <w:rFonts w:hint="eastAsia" w:ascii="仿宋_GB2312"/>
        </w:rPr>
        <w:t>李沧区市场监督管理局对申报的项目和拟扶持金额进行审核后，形成扶持奖励方案，提交有关会议研究审批。</w:t>
      </w:r>
    </w:p>
    <w:p>
      <w:pPr>
        <w:spacing w:line="560" w:lineRule="exact"/>
        <w:ind w:firstLine="600"/>
        <w:rPr>
          <w:rFonts w:ascii="仿宋_GB2312"/>
        </w:rPr>
      </w:pPr>
      <w:r>
        <w:rPr>
          <w:rFonts w:hint="eastAsia" w:ascii="楷体_GB2312" w:eastAsia="楷体_GB2312"/>
          <w:b/>
          <w:bCs/>
          <w:szCs w:val="32"/>
        </w:rPr>
        <w:t xml:space="preserve">第十五条 </w:t>
      </w:r>
      <w:r>
        <w:rPr>
          <w:rFonts w:hint="eastAsia" w:ascii="仿宋_GB2312"/>
        </w:rPr>
        <w:t>扶持项目审批通过后，由李沧区市场监督管理局负责发文公示。公示期为5个工作日。公示有异议的，由李沧区市场监督管理局重审，重审证明异议内容属实的，不予扶持奖励，并将有关情况反馈给项目申报组织和相关单位。</w:t>
      </w:r>
    </w:p>
    <w:p>
      <w:pPr>
        <w:spacing w:line="560" w:lineRule="exact"/>
        <w:ind w:firstLine="600"/>
        <w:rPr>
          <w:rFonts w:ascii="仿宋_GB2312"/>
        </w:rPr>
      </w:pPr>
      <w:r>
        <w:rPr>
          <w:rFonts w:hint="eastAsia" w:ascii="楷体_GB2312" w:eastAsia="楷体_GB2312"/>
          <w:b/>
          <w:bCs/>
          <w:szCs w:val="32"/>
        </w:rPr>
        <w:t xml:space="preserve">第十六条 </w:t>
      </w:r>
      <w:r>
        <w:rPr>
          <w:rFonts w:hint="eastAsia" w:ascii="仿宋_GB2312"/>
        </w:rPr>
        <w:t>公示完毕后，按照有关会议审批通过的扶持金额，根据区级年度预算安排，由李沧区市场监督管理局按照国库支付管理的有关规定拨付专项资金。</w:t>
      </w:r>
    </w:p>
    <w:p>
      <w:pPr>
        <w:spacing w:line="560" w:lineRule="exact"/>
        <w:jc w:val="center"/>
        <w:rPr>
          <w:rFonts w:ascii="仿宋_GB2312"/>
        </w:rPr>
      </w:pPr>
    </w:p>
    <w:p>
      <w:pPr>
        <w:spacing w:line="560" w:lineRule="exact"/>
        <w:jc w:val="center"/>
        <w:rPr>
          <w:rFonts w:ascii="仿宋_GB2312"/>
          <w:szCs w:val="32"/>
        </w:rPr>
      </w:pPr>
      <w:r>
        <w:rPr>
          <w:rFonts w:hint="eastAsia" w:ascii="黑体" w:eastAsia="黑体"/>
          <w:szCs w:val="32"/>
        </w:rPr>
        <w:t>第五章  监督与检查</w:t>
      </w:r>
    </w:p>
    <w:p>
      <w:pPr>
        <w:spacing w:line="560" w:lineRule="exact"/>
        <w:ind w:firstLine="600"/>
        <w:rPr>
          <w:rFonts w:ascii="仿宋_GB2312"/>
        </w:rPr>
      </w:pPr>
      <w:r>
        <w:rPr>
          <w:rFonts w:hint="eastAsia" w:ascii="楷体_GB2312" w:eastAsia="楷体_GB2312"/>
          <w:b/>
          <w:bCs/>
          <w:szCs w:val="32"/>
        </w:rPr>
        <w:t>第十七条</w:t>
      </w:r>
      <w:r>
        <w:rPr>
          <w:rFonts w:hint="eastAsia" w:ascii="仿宋_GB2312"/>
        </w:rPr>
        <w:t xml:space="preserve"> 专项资金的安排、拨付、使用和管理,按规定接受审计部门的审计监督，接受区人大和社会的监督，确保专项资金规范、安全、有效运行。</w:t>
      </w:r>
    </w:p>
    <w:p>
      <w:pPr>
        <w:spacing w:line="560" w:lineRule="exact"/>
        <w:ind w:firstLine="600"/>
        <w:rPr>
          <w:rFonts w:ascii="仿宋_GB2312"/>
        </w:rPr>
      </w:pPr>
      <w:r>
        <w:rPr>
          <w:rFonts w:hint="eastAsia" w:ascii="楷体_GB2312" w:eastAsia="楷体_GB2312"/>
          <w:b/>
          <w:bCs/>
          <w:szCs w:val="32"/>
        </w:rPr>
        <w:t>第十八条</w:t>
      </w:r>
      <w:r>
        <w:rPr>
          <w:rFonts w:hint="eastAsia" w:ascii="仿宋_GB2312"/>
        </w:rPr>
        <w:t xml:space="preserve"> 专项资金申请人应当确保申报的材料真实、合法、有效。对经检查发现虚报、瞒报有关情况骗取扶持资金的，将全部追回已拨付的资金，取消该组织三年内申请扶持项目的资格，并依法将其不良信用记录到企业信用档案。情节严重的，按照国家有关规定追究当事人的法律责任。</w:t>
      </w:r>
    </w:p>
    <w:p>
      <w:pPr>
        <w:spacing w:line="560" w:lineRule="exact"/>
        <w:jc w:val="center"/>
        <w:rPr>
          <w:rFonts w:ascii="仿宋_GB2312"/>
        </w:rPr>
      </w:pPr>
    </w:p>
    <w:p>
      <w:pPr>
        <w:spacing w:line="560" w:lineRule="exact"/>
        <w:jc w:val="center"/>
        <w:rPr>
          <w:rFonts w:ascii="仿宋_GB2312"/>
          <w:szCs w:val="32"/>
        </w:rPr>
      </w:pPr>
      <w:r>
        <w:rPr>
          <w:rFonts w:hint="eastAsia" w:ascii="黑体" w:eastAsia="黑体"/>
          <w:szCs w:val="32"/>
        </w:rPr>
        <w:t>第六章  附  则</w:t>
      </w:r>
    </w:p>
    <w:p>
      <w:pPr>
        <w:spacing w:line="560" w:lineRule="exact"/>
        <w:ind w:firstLine="600"/>
        <w:rPr>
          <w:rFonts w:ascii="仿宋_GB2312"/>
        </w:rPr>
      </w:pPr>
      <w:r>
        <w:rPr>
          <w:rFonts w:hint="eastAsia" w:ascii="楷体_GB2312" w:eastAsia="楷体_GB2312"/>
          <w:b/>
          <w:bCs/>
          <w:szCs w:val="32"/>
        </w:rPr>
        <w:t>第十九条</w:t>
      </w:r>
      <w:r>
        <w:rPr>
          <w:rFonts w:hint="eastAsia" w:ascii="仿宋_GB2312"/>
        </w:rPr>
        <w:t xml:space="preserve"> 本办法由李沧区市场监督管理局负责解释。</w:t>
      </w:r>
    </w:p>
    <w:p>
      <w:pPr>
        <w:spacing w:line="560" w:lineRule="exact"/>
        <w:ind w:firstLine="600"/>
        <w:rPr>
          <w:rFonts w:ascii="仿宋_GB2312"/>
        </w:rPr>
      </w:pPr>
      <w:r>
        <w:rPr>
          <w:rFonts w:hint="eastAsia" w:ascii="楷体_GB2312" w:eastAsia="楷体_GB2312"/>
          <w:b/>
          <w:bCs/>
          <w:szCs w:val="32"/>
        </w:rPr>
        <w:t>第二十条</w:t>
      </w:r>
      <w:r>
        <w:rPr>
          <w:rFonts w:hint="eastAsia" w:ascii="仿宋_GB2312"/>
        </w:rPr>
        <w:t xml:space="preserve"> 本办法自2021年9月17日起公布，2021年10月18日起实施，有效期至2026年10月17日。</w:t>
      </w:r>
    </w:p>
    <w:p>
      <w:pPr>
        <w:spacing w:line="540" w:lineRule="exact"/>
        <w:ind w:firstLine="640" w:firstLineChars="200"/>
        <w:rPr>
          <w:rFonts w:ascii="仿宋_GB2312" w:hAnsi="仿宋_GB2312" w:cs="仿宋_GB2312"/>
          <w:szCs w:val="32"/>
          <w:shd w:val="clear" w:color="auto" w:fill="FFFFFF"/>
        </w:rPr>
      </w:pPr>
    </w:p>
    <w:p>
      <w:pPr>
        <w:spacing w:line="560" w:lineRule="exact"/>
        <w:rPr>
          <w:rFonts w:ascii="仿宋_GB2312"/>
          <w:szCs w:val="32"/>
        </w:rPr>
      </w:pPr>
    </w:p>
    <w:p>
      <w:pPr>
        <w:spacing w:line="560" w:lineRule="exact"/>
        <w:rPr>
          <w:rFonts w:ascii="仿宋_GB2312"/>
          <w:szCs w:val="32"/>
        </w:rPr>
      </w:pPr>
    </w:p>
    <w:p>
      <w:pPr>
        <w:spacing w:line="460" w:lineRule="exact"/>
        <w:rPr>
          <w:rFonts w:ascii="仿宋_GB2312"/>
          <w:szCs w:val="32"/>
        </w:rPr>
      </w:pPr>
    </w:p>
    <w:p>
      <w:pPr>
        <w:spacing w:line="520" w:lineRule="exact"/>
        <w:rPr>
          <w:rFonts w:ascii="仿宋_GB2312"/>
          <w:sz w:val="28"/>
          <w:szCs w:val="28"/>
        </w:rPr>
      </w:pPr>
      <w:r>
        <w:rPr>
          <w:rFonts w:hint="eastAsia"/>
        </w:rPr>
        <mc:AlternateContent>
          <mc:Choice Requires="wps">
            <w:drawing>
              <wp:anchor distT="0" distB="0" distL="114300" distR="114300" simplePos="0" relativeHeight="251659264" behindDoc="0" locked="0" layoutInCell="1" allowOverlap="1">
                <wp:simplePos x="0" y="0"/>
                <wp:positionH relativeFrom="column">
                  <wp:posOffset>-2540</wp:posOffset>
                </wp:positionH>
                <wp:positionV relativeFrom="paragraph">
                  <wp:posOffset>28575</wp:posOffset>
                </wp:positionV>
                <wp:extent cx="5695950" cy="0"/>
                <wp:effectExtent l="0" t="0" r="19050" b="19050"/>
                <wp:wrapNone/>
                <wp:docPr id="27" name="直接连接符 27"/>
                <wp:cNvGraphicFramePr/>
                <a:graphic xmlns:a="http://schemas.openxmlformats.org/drawingml/2006/main">
                  <a:graphicData uri="http://schemas.microsoft.com/office/word/2010/wordprocessingShape">
                    <wps:wsp>
                      <wps:cNvCnPr>
                        <a:cxnSpLocks noChangeShapeType="1"/>
                      </wps:cNvCnPr>
                      <wps:spPr bwMode="auto">
                        <a:xfrm>
                          <a:off x="0" y="0"/>
                          <a:ext cx="5695950" cy="0"/>
                        </a:xfrm>
                        <a:prstGeom prst="line">
                          <a:avLst/>
                        </a:prstGeom>
                        <a:noFill/>
                        <a:ln w="9017">
                          <a:solidFill>
                            <a:srgbClr val="000000"/>
                          </a:solidFill>
                          <a:round/>
                        </a:ln>
                      </wps:spPr>
                      <wps:bodyPr/>
                    </wps:wsp>
                  </a:graphicData>
                </a:graphic>
              </wp:anchor>
            </w:drawing>
          </mc:Choice>
          <mc:Fallback>
            <w:pict>
              <v:line id="_x0000_s1026" o:spid="_x0000_s1026" o:spt="20" style="position:absolute;left:0pt;margin-left:-0.2pt;margin-top:2.25pt;height:0pt;width:448.5pt;z-index:251659264;mso-width-relative:page;mso-height-relative:page;" filled="f" stroked="t" coordsize="21600,21600" o:gfxdata="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Bybik81QAAAAUB&#10;AAAPAAAAAAAAAAEAIAAAACIAAABkcnMvZG93bnJldi54bWxQSwECFAAUAAAACACHTuJAN70SueUB&#10;AACsAwAADgAAAAAAAAABACAAAAAkAQAAZHJzL2Uyb0RvYy54bWxQSwUGAAAAAAYABgBZAQAAewUA&#10;AAAA&#10;">
                <v:fill on="f" focussize="0,0"/>
                <v:stroke weight="0.71pt" color="#000000" joinstyle="round"/>
                <v:imagedata o:title=""/>
                <o:lock v:ext="edit" aspectratio="f"/>
              </v:line>
            </w:pict>
          </mc:Fallback>
        </mc:AlternateContent>
      </w:r>
      <w:r>
        <w:rPr>
          <w:rFonts w:hint="eastAsia"/>
        </w:rPr>
        <mc:AlternateContent>
          <mc:Choice Requires="wps">
            <w:drawing>
              <wp:anchor distT="0" distB="0" distL="114300" distR="114300" simplePos="0" relativeHeight="251660288" behindDoc="0" locked="0" layoutInCell="1" allowOverlap="1">
                <wp:simplePos x="0" y="0"/>
                <wp:positionH relativeFrom="column">
                  <wp:posOffset>-2540</wp:posOffset>
                </wp:positionH>
                <wp:positionV relativeFrom="paragraph">
                  <wp:posOffset>323850</wp:posOffset>
                </wp:positionV>
                <wp:extent cx="5695950" cy="0"/>
                <wp:effectExtent l="0" t="0" r="19050" b="19050"/>
                <wp:wrapNone/>
                <wp:docPr id="28" name="直接连接符 28"/>
                <wp:cNvGraphicFramePr/>
                <a:graphic xmlns:a="http://schemas.openxmlformats.org/drawingml/2006/main">
                  <a:graphicData uri="http://schemas.microsoft.com/office/word/2010/wordprocessingShape">
                    <wps:wsp>
                      <wps:cNvCnPr>
                        <a:cxnSpLocks noChangeShapeType="1"/>
                      </wps:cNvCnPr>
                      <wps:spPr bwMode="auto">
                        <a:xfrm>
                          <a:off x="0" y="0"/>
                          <a:ext cx="5695950" cy="0"/>
                        </a:xfrm>
                        <a:prstGeom prst="line">
                          <a:avLst/>
                        </a:prstGeom>
                        <a:noFill/>
                        <a:ln w="9017">
                          <a:solidFill>
                            <a:srgbClr val="000000"/>
                          </a:solidFill>
                          <a:round/>
                        </a:ln>
                      </wps:spPr>
                      <wps:bodyPr/>
                    </wps:wsp>
                  </a:graphicData>
                </a:graphic>
              </wp:anchor>
            </w:drawing>
          </mc:Choice>
          <mc:Fallback>
            <w:pict>
              <v:line id="_x0000_s1026" o:spid="_x0000_s1026" o:spt="20" style="position:absolute;left:0pt;margin-left:-0.2pt;margin-top:25.5pt;height:0pt;width:448.5pt;z-index:251660288;mso-width-relative:page;mso-height-relative:page;" filled="f" stroked="t" coordsize="21600,21600" o:gfxdata="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BB0IAzXAAAA&#10;BwEAAA8AAAAAAAAAAQAgAAAAIgAAAGRycy9kb3ducmV2LnhtbFBLAQIUABQAAAAIAIdO4kC7s5Fd&#10;5QEAAKwDAAAOAAAAAAAAAAEAIAAAACYBAABkcnMvZTJvRG9jLnhtbFBLBQYAAAAABgAGAFkBAAB9&#10;BQAAAAA=&#10;">
                <v:fill on="f" focussize="0,0"/>
                <v:stroke weight="0.71pt" color="#000000" joinstyle="round"/>
                <v:imagedata o:title=""/>
                <o:lock v:ext="edit" aspectratio="f"/>
              </v:line>
            </w:pict>
          </mc:Fallback>
        </mc:AlternateContent>
      </w:r>
      <w:r>
        <w:rPr>
          <w:rFonts w:hint="eastAsia" w:ascii="仿宋_GB2312"/>
          <w:sz w:val="28"/>
          <w:szCs w:val="28"/>
        </w:rPr>
        <w:t xml:space="preserve">  </w:t>
      </w:r>
      <w:r>
        <w:rPr>
          <w:rFonts w:hint="eastAsia"/>
          <w:sz w:val="28"/>
          <w:szCs w:val="28"/>
        </w:rPr>
        <w:t xml:space="preserve">青岛市李沧区人民政府办公室    </w:t>
      </w:r>
      <w:r>
        <w:rPr>
          <w:sz w:val="28"/>
          <w:szCs w:val="28"/>
        </w:rPr>
        <w:t xml:space="preserve"> </w:t>
      </w:r>
      <w:r>
        <w:rPr>
          <w:rFonts w:hint="eastAsia"/>
          <w:sz w:val="28"/>
          <w:szCs w:val="28"/>
        </w:rPr>
        <w:t xml:space="preserve">   </w:t>
      </w:r>
      <w:r>
        <w:rPr>
          <w:sz w:val="28"/>
          <w:szCs w:val="28"/>
        </w:rPr>
        <w:t xml:space="preserve"> </w:t>
      </w:r>
      <w:r>
        <w:rPr>
          <w:rFonts w:hint="eastAsia"/>
          <w:sz w:val="28"/>
          <w:szCs w:val="28"/>
        </w:rPr>
        <w:t xml:space="preserve"> </w:t>
      </w:r>
      <w:r>
        <w:rPr>
          <w:sz w:val="28"/>
          <w:szCs w:val="28"/>
        </w:rPr>
        <w:t xml:space="preserve">   </w:t>
      </w:r>
      <w:r>
        <w:rPr>
          <w:rFonts w:hint="eastAsia"/>
          <w:sz w:val="28"/>
          <w:szCs w:val="28"/>
        </w:rPr>
        <w:t xml:space="preserve">  </w:t>
      </w:r>
      <w:r>
        <w:rPr>
          <w:rFonts w:hint="eastAsia" w:ascii="仿宋_GB2312"/>
          <w:sz w:val="28"/>
          <w:szCs w:val="28"/>
        </w:rPr>
        <w:t>20</w:t>
      </w:r>
      <w:r>
        <w:rPr>
          <w:rFonts w:ascii="仿宋_GB2312"/>
          <w:sz w:val="28"/>
          <w:szCs w:val="28"/>
        </w:rPr>
        <w:t>21</w:t>
      </w:r>
      <w:r>
        <w:rPr>
          <w:rFonts w:hint="eastAsia" w:ascii="仿宋_GB2312"/>
          <w:sz w:val="28"/>
          <w:szCs w:val="28"/>
        </w:rPr>
        <w:t>年</w:t>
      </w:r>
      <w:r>
        <w:rPr>
          <w:rFonts w:ascii="仿宋_GB2312"/>
          <w:sz w:val="28"/>
          <w:szCs w:val="28"/>
        </w:rPr>
        <w:t>9</w:t>
      </w:r>
      <w:r>
        <w:rPr>
          <w:rFonts w:hint="eastAsia" w:ascii="仿宋_GB2312"/>
          <w:sz w:val="28"/>
          <w:szCs w:val="28"/>
        </w:rPr>
        <w:t>月</w:t>
      </w:r>
      <w:r>
        <w:rPr>
          <w:rFonts w:ascii="仿宋_GB2312"/>
          <w:sz w:val="28"/>
          <w:szCs w:val="28"/>
        </w:rPr>
        <w:t>17</w:t>
      </w:r>
      <w:r>
        <w:rPr>
          <w:rFonts w:hint="eastAsia" w:ascii="仿宋_GB2312"/>
          <w:sz w:val="28"/>
          <w:szCs w:val="28"/>
        </w:rPr>
        <w:t xml:space="preserve">日印发  </w:t>
      </w:r>
    </w:p>
    <w:sectPr>
      <w:footerReference r:id="rId3" w:type="default"/>
      <w:footerReference r:id="rId4" w:type="even"/>
      <w:pgSz w:w="11906" w:h="16838"/>
      <w:pgMar w:top="2098" w:right="1474" w:bottom="1985" w:left="1588" w:header="851" w:footer="1219" w:gutter="0"/>
      <w:pgNumType w:fmt="numberInDash"/>
      <w:cols w:space="425" w:num="1"/>
      <w:docGrid w:type="linesAndChar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Arial">
    <w:panose1 w:val="020B0604020202020204"/>
    <w:charset w:val="00"/>
    <w:family w:val="swiss"/>
    <w:pitch w:val="default"/>
    <w:sig w:usb0="E0002EFF" w:usb1="C000785B" w:usb2="00000009" w:usb3="00000000" w:csb0="400001FF" w:csb1="FFFF0000"/>
  </w:font>
  <w:font w:name="Verdana">
    <w:panose1 w:val="020B0604030504040204"/>
    <w:charset w:val="00"/>
    <w:family w:val="swiss"/>
    <w:pitch w:val="default"/>
    <w:sig w:usb0="A00006FF" w:usb1="4000205B" w:usb2="00000010" w:usb3="00000000" w:csb0="2000019F"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Microsoft YaHei UI">
    <w:panose1 w:val="020B0503020204020204"/>
    <w:charset w:val="86"/>
    <w:family w:val="swiss"/>
    <w:pitch w:val="default"/>
    <w:sig w:usb0="80000287" w:usb1="2ACF3C50" w:usb2="00000016" w:usb3="00000000" w:csb0="0004001F"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方正大标宋简体">
    <w:altName w:val="微软雅黑"/>
    <w:panose1 w:val="00000000000000000000"/>
    <w:charset w:val="86"/>
    <w:family w:val="auto"/>
    <w:pitch w:val="default"/>
    <w:sig w:usb0="00000000" w:usb1="00000000" w:usb2="00000012"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29392129"/>
      <w:docPartObj>
        <w:docPartGallery w:val="AutoText"/>
      </w:docPartObj>
    </w:sdtPr>
    <w:sdtEndPr>
      <w:rPr>
        <w:rFonts w:ascii="宋体" w:hAnsi="宋体" w:eastAsia="宋体"/>
        <w:sz w:val="28"/>
        <w:szCs w:val="28"/>
      </w:rPr>
    </w:sdtEndPr>
    <w:sdtContent>
      <w:p>
        <w:pPr>
          <w:pStyle w:val="8"/>
          <w:wordWrap w:val="0"/>
          <w:jc w:val="right"/>
          <w:rPr>
            <w:rFonts w:ascii="宋体" w:hAnsi="宋体" w:eastAsia="宋体"/>
            <w:sz w:val="28"/>
            <w:szCs w:val="28"/>
          </w:rPr>
        </w:pP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w:t>
        </w:r>
        <w:r>
          <w:rPr>
            <w:rFonts w:ascii="宋体" w:hAnsi="宋体" w:eastAsia="宋体"/>
            <w:sz w:val="28"/>
            <w:szCs w:val="28"/>
          </w:rPr>
          <w:t xml:space="preserve"> 5 -</w:t>
        </w:r>
        <w:r>
          <w:rPr>
            <w:rFonts w:ascii="宋体" w:hAnsi="宋体" w:eastAsia="宋体"/>
            <w:sz w:val="28"/>
            <w:szCs w:val="28"/>
          </w:rPr>
          <w:fldChar w:fldCharType="end"/>
        </w:r>
        <w:r>
          <w:rPr>
            <w:rFonts w:ascii="宋体" w:hAnsi="宋体" w:eastAsia="宋体"/>
            <w:sz w:val="28"/>
            <w:szCs w:val="28"/>
          </w:rPr>
          <w:t xml:space="preserve">  </w:t>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outside" w:y="1"/>
      <w:ind w:firstLine="280" w:firstLineChars="100"/>
      <w:rPr>
        <w:rStyle w:val="16"/>
        <w:rFonts w:ascii="宋体" w:hAnsi="宋体" w:eastAsia="宋体"/>
        <w:sz w:val="28"/>
        <w:szCs w:val="28"/>
      </w:rPr>
    </w:pPr>
    <w:r>
      <w:rPr>
        <w:rStyle w:val="16"/>
        <w:rFonts w:ascii="宋体" w:hAnsi="宋体" w:eastAsia="宋体"/>
        <w:sz w:val="28"/>
        <w:szCs w:val="28"/>
      </w:rPr>
      <w:fldChar w:fldCharType="begin"/>
    </w:r>
    <w:r>
      <w:rPr>
        <w:rStyle w:val="16"/>
        <w:rFonts w:ascii="宋体" w:hAnsi="宋体" w:eastAsia="宋体"/>
        <w:sz w:val="28"/>
        <w:szCs w:val="28"/>
      </w:rPr>
      <w:instrText xml:space="preserve">PAGE  </w:instrText>
    </w:r>
    <w:r>
      <w:rPr>
        <w:rStyle w:val="16"/>
        <w:rFonts w:ascii="宋体" w:hAnsi="宋体" w:eastAsia="宋体"/>
        <w:sz w:val="28"/>
        <w:szCs w:val="28"/>
      </w:rPr>
      <w:fldChar w:fldCharType="separate"/>
    </w:r>
    <w:r>
      <w:rPr>
        <w:rStyle w:val="16"/>
        <w:rFonts w:ascii="宋体" w:hAnsi="宋体" w:eastAsia="宋体"/>
        <w:sz w:val="28"/>
        <w:szCs w:val="28"/>
      </w:rPr>
      <w:t>- 6 -</w:t>
    </w:r>
    <w:r>
      <w:rPr>
        <w:rStyle w:val="16"/>
        <w:rFonts w:ascii="宋体" w:hAnsi="宋体" w:eastAsia="宋体"/>
        <w:sz w:val="28"/>
        <w:szCs w:val="28"/>
      </w:rPr>
      <w:fldChar w:fldCharType="end"/>
    </w:r>
  </w:p>
  <w:p>
    <w:pPr>
      <w:pStyle w:val="8"/>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19"/>
  <w:evenAndOddHeaders w:val="1"/>
  <w:drawingGridHorizontalSpacing w:val="160"/>
  <w:drawingGridVerticalSpacing w:val="435"/>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6ABF"/>
    <w:rsid w:val="00006387"/>
    <w:rsid w:val="0001214B"/>
    <w:rsid w:val="000130DE"/>
    <w:rsid w:val="00020637"/>
    <w:rsid w:val="0002342A"/>
    <w:rsid w:val="00024295"/>
    <w:rsid w:val="00024488"/>
    <w:rsid w:val="00025E4D"/>
    <w:rsid w:val="0003762B"/>
    <w:rsid w:val="00037731"/>
    <w:rsid w:val="00042185"/>
    <w:rsid w:val="000515AE"/>
    <w:rsid w:val="000534FA"/>
    <w:rsid w:val="000557D1"/>
    <w:rsid w:val="00055E01"/>
    <w:rsid w:val="00061E04"/>
    <w:rsid w:val="0006336D"/>
    <w:rsid w:val="00063BB3"/>
    <w:rsid w:val="00066ABF"/>
    <w:rsid w:val="000706ED"/>
    <w:rsid w:val="00072926"/>
    <w:rsid w:val="00074CC9"/>
    <w:rsid w:val="000761EA"/>
    <w:rsid w:val="00076F85"/>
    <w:rsid w:val="00082CB5"/>
    <w:rsid w:val="00084C83"/>
    <w:rsid w:val="00084CAD"/>
    <w:rsid w:val="00096AC2"/>
    <w:rsid w:val="000A29F2"/>
    <w:rsid w:val="000A5911"/>
    <w:rsid w:val="000B2715"/>
    <w:rsid w:val="000B327B"/>
    <w:rsid w:val="000B46BD"/>
    <w:rsid w:val="000C4DAC"/>
    <w:rsid w:val="000C528A"/>
    <w:rsid w:val="000C647D"/>
    <w:rsid w:val="000D6F77"/>
    <w:rsid w:val="000E06C7"/>
    <w:rsid w:val="000E0D1D"/>
    <w:rsid w:val="000E1706"/>
    <w:rsid w:val="000F1795"/>
    <w:rsid w:val="000F60E5"/>
    <w:rsid w:val="000F7179"/>
    <w:rsid w:val="00102BB8"/>
    <w:rsid w:val="001059D7"/>
    <w:rsid w:val="00111DAF"/>
    <w:rsid w:val="00132455"/>
    <w:rsid w:val="00135AF1"/>
    <w:rsid w:val="001408B6"/>
    <w:rsid w:val="001415DC"/>
    <w:rsid w:val="00141D33"/>
    <w:rsid w:val="001421FC"/>
    <w:rsid w:val="001434AF"/>
    <w:rsid w:val="001468EE"/>
    <w:rsid w:val="00146CAD"/>
    <w:rsid w:val="00152DA7"/>
    <w:rsid w:val="00155833"/>
    <w:rsid w:val="00155A8F"/>
    <w:rsid w:val="0015760F"/>
    <w:rsid w:val="00164BF8"/>
    <w:rsid w:val="0017524B"/>
    <w:rsid w:val="00175F8F"/>
    <w:rsid w:val="00180C50"/>
    <w:rsid w:val="00182DB0"/>
    <w:rsid w:val="00183939"/>
    <w:rsid w:val="001852C3"/>
    <w:rsid w:val="00187FAC"/>
    <w:rsid w:val="00191549"/>
    <w:rsid w:val="00194218"/>
    <w:rsid w:val="00196E49"/>
    <w:rsid w:val="001B5D54"/>
    <w:rsid w:val="001C1171"/>
    <w:rsid w:val="001D1384"/>
    <w:rsid w:val="001D5A82"/>
    <w:rsid w:val="001D70A4"/>
    <w:rsid w:val="001E0EC6"/>
    <w:rsid w:val="001E2B58"/>
    <w:rsid w:val="001E2BE9"/>
    <w:rsid w:val="001E5161"/>
    <w:rsid w:val="001E5D78"/>
    <w:rsid w:val="001F4159"/>
    <w:rsid w:val="001F4BC3"/>
    <w:rsid w:val="001F5402"/>
    <w:rsid w:val="001F6037"/>
    <w:rsid w:val="00200A5A"/>
    <w:rsid w:val="002025FC"/>
    <w:rsid w:val="00211210"/>
    <w:rsid w:val="002123AC"/>
    <w:rsid w:val="002129B9"/>
    <w:rsid w:val="00216C71"/>
    <w:rsid w:val="0021711B"/>
    <w:rsid w:val="00221763"/>
    <w:rsid w:val="00221B64"/>
    <w:rsid w:val="00221FAA"/>
    <w:rsid w:val="00233112"/>
    <w:rsid w:val="00236625"/>
    <w:rsid w:val="00236CCA"/>
    <w:rsid w:val="00242D44"/>
    <w:rsid w:val="00243F69"/>
    <w:rsid w:val="00244C43"/>
    <w:rsid w:val="002521B7"/>
    <w:rsid w:val="00254AA1"/>
    <w:rsid w:val="002550CA"/>
    <w:rsid w:val="00260E7B"/>
    <w:rsid w:val="00261703"/>
    <w:rsid w:val="002667C5"/>
    <w:rsid w:val="002703DC"/>
    <w:rsid w:val="0027343E"/>
    <w:rsid w:val="00274218"/>
    <w:rsid w:val="00274326"/>
    <w:rsid w:val="002773A2"/>
    <w:rsid w:val="00282873"/>
    <w:rsid w:val="00284045"/>
    <w:rsid w:val="00284D48"/>
    <w:rsid w:val="00286A41"/>
    <w:rsid w:val="00286B9C"/>
    <w:rsid w:val="00291935"/>
    <w:rsid w:val="00293943"/>
    <w:rsid w:val="00297D50"/>
    <w:rsid w:val="002A0BB0"/>
    <w:rsid w:val="002A3873"/>
    <w:rsid w:val="002A4546"/>
    <w:rsid w:val="002A7F19"/>
    <w:rsid w:val="002B0373"/>
    <w:rsid w:val="002B31EE"/>
    <w:rsid w:val="002B5D00"/>
    <w:rsid w:val="002B613B"/>
    <w:rsid w:val="002B6C3F"/>
    <w:rsid w:val="002C123B"/>
    <w:rsid w:val="002C4E8B"/>
    <w:rsid w:val="002C5D10"/>
    <w:rsid w:val="002C6464"/>
    <w:rsid w:val="002C6975"/>
    <w:rsid w:val="002D0877"/>
    <w:rsid w:val="002D5BBF"/>
    <w:rsid w:val="002D6A4D"/>
    <w:rsid w:val="002E04A8"/>
    <w:rsid w:val="002E11E5"/>
    <w:rsid w:val="002E3154"/>
    <w:rsid w:val="002F468E"/>
    <w:rsid w:val="002F4E14"/>
    <w:rsid w:val="002F5429"/>
    <w:rsid w:val="003008FB"/>
    <w:rsid w:val="00302FC7"/>
    <w:rsid w:val="003034EA"/>
    <w:rsid w:val="00303612"/>
    <w:rsid w:val="00303C24"/>
    <w:rsid w:val="00310C66"/>
    <w:rsid w:val="00322661"/>
    <w:rsid w:val="0033604C"/>
    <w:rsid w:val="00336A03"/>
    <w:rsid w:val="00345C1D"/>
    <w:rsid w:val="00353B4E"/>
    <w:rsid w:val="00354F24"/>
    <w:rsid w:val="00355B27"/>
    <w:rsid w:val="00357694"/>
    <w:rsid w:val="00363AF9"/>
    <w:rsid w:val="00367D98"/>
    <w:rsid w:val="00372A7A"/>
    <w:rsid w:val="003754F8"/>
    <w:rsid w:val="003811D7"/>
    <w:rsid w:val="0038161E"/>
    <w:rsid w:val="00383BBE"/>
    <w:rsid w:val="0038490F"/>
    <w:rsid w:val="003874DE"/>
    <w:rsid w:val="0039222E"/>
    <w:rsid w:val="00396F5A"/>
    <w:rsid w:val="003A0C1B"/>
    <w:rsid w:val="003A1C58"/>
    <w:rsid w:val="003A3DAD"/>
    <w:rsid w:val="003A5C0E"/>
    <w:rsid w:val="003B42BB"/>
    <w:rsid w:val="003B6586"/>
    <w:rsid w:val="003C7238"/>
    <w:rsid w:val="003D3CB8"/>
    <w:rsid w:val="003D4D6C"/>
    <w:rsid w:val="003D787B"/>
    <w:rsid w:val="003E0E2C"/>
    <w:rsid w:val="003E1376"/>
    <w:rsid w:val="003E23E5"/>
    <w:rsid w:val="003E28B8"/>
    <w:rsid w:val="003E44AA"/>
    <w:rsid w:val="003E6381"/>
    <w:rsid w:val="003F0FEB"/>
    <w:rsid w:val="003F5C50"/>
    <w:rsid w:val="003F70DA"/>
    <w:rsid w:val="00405930"/>
    <w:rsid w:val="004068B6"/>
    <w:rsid w:val="004070D5"/>
    <w:rsid w:val="00412A6F"/>
    <w:rsid w:val="004228FB"/>
    <w:rsid w:val="00430BFB"/>
    <w:rsid w:val="004337DB"/>
    <w:rsid w:val="00434CA9"/>
    <w:rsid w:val="004379AA"/>
    <w:rsid w:val="0044298A"/>
    <w:rsid w:val="004442DF"/>
    <w:rsid w:val="00445960"/>
    <w:rsid w:val="00446477"/>
    <w:rsid w:val="00446EF1"/>
    <w:rsid w:val="00452065"/>
    <w:rsid w:val="004528C4"/>
    <w:rsid w:val="00454AC0"/>
    <w:rsid w:val="00456FE2"/>
    <w:rsid w:val="004621AC"/>
    <w:rsid w:val="00463D7C"/>
    <w:rsid w:val="004737FD"/>
    <w:rsid w:val="00473FAC"/>
    <w:rsid w:val="00474F30"/>
    <w:rsid w:val="0047562D"/>
    <w:rsid w:val="00481389"/>
    <w:rsid w:val="004827AB"/>
    <w:rsid w:val="0048669A"/>
    <w:rsid w:val="0049123C"/>
    <w:rsid w:val="00491506"/>
    <w:rsid w:val="00492763"/>
    <w:rsid w:val="00494686"/>
    <w:rsid w:val="004A1766"/>
    <w:rsid w:val="004A480B"/>
    <w:rsid w:val="004A4BDE"/>
    <w:rsid w:val="004B52F4"/>
    <w:rsid w:val="004B5857"/>
    <w:rsid w:val="004B67C4"/>
    <w:rsid w:val="004B74F4"/>
    <w:rsid w:val="004D2339"/>
    <w:rsid w:val="004D291C"/>
    <w:rsid w:val="004D4D20"/>
    <w:rsid w:val="004D6469"/>
    <w:rsid w:val="004D683B"/>
    <w:rsid w:val="004D7F42"/>
    <w:rsid w:val="004E1571"/>
    <w:rsid w:val="004E3A80"/>
    <w:rsid w:val="004E5ED0"/>
    <w:rsid w:val="004F0B47"/>
    <w:rsid w:val="004F4830"/>
    <w:rsid w:val="005016AE"/>
    <w:rsid w:val="005021A2"/>
    <w:rsid w:val="00503EF8"/>
    <w:rsid w:val="00506FD5"/>
    <w:rsid w:val="00517DBC"/>
    <w:rsid w:val="00517EFE"/>
    <w:rsid w:val="0052067E"/>
    <w:rsid w:val="005214F3"/>
    <w:rsid w:val="00523E4C"/>
    <w:rsid w:val="005338CE"/>
    <w:rsid w:val="00542177"/>
    <w:rsid w:val="00542182"/>
    <w:rsid w:val="0054339F"/>
    <w:rsid w:val="005510F7"/>
    <w:rsid w:val="00551463"/>
    <w:rsid w:val="005519E5"/>
    <w:rsid w:val="00553D07"/>
    <w:rsid w:val="0056174D"/>
    <w:rsid w:val="005638EC"/>
    <w:rsid w:val="00564A82"/>
    <w:rsid w:val="00570907"/>
    <w:rsid w:val="00571262"/>
    <w:rsid w:val="00577356"/>
    <w:rsid w:val="005848FF"/>
    <w:rsid w:val="00584D38"/>
    <w:rsid w:val="005859DB"/>
    <w:rsid w:val="005878D8"/>
    <w:rsid w:val="0059220A"/>
    <w:rsid w:val="00592588"/>
    <w:rsid w:val="00592762"/>
    <w:rsid w:val="00596AAB"/>
    <w:rsid w:val="005A27D9"/>
    <w:rsid w:val="005A392E"/>
    <w:rsid w:val="005A40E6"/>
    <w:rsid w:val="005A582F"/>
    <w:rsid w:val="005A5C4D"/>
    <w:rsid w:val="005B04B0"/>
    <w:rsid w:val="005C279D"/>
    <w:rsid w:val="005C60A9"/>
    <w:rsid w:val="005D0AD1"/>
    <w:rsid w:val="005D37C2"/>
    <w:rsid w:val="005D4B06"/>
    <w:rsid w:val="005D4ECC"/>
    <w:rsid w:val="005D747D"/>
    <w:rsid w:val="005E2F2A"/>
    <w:rsid w:val="005E3768"/>
    <w:rsid w:val="005E5573"/>
    <w:rsid w:val="005F204A"/>
    <w:rsid w:val="005F2DFE"/>
    <w:rsid w:val="005F2E6E"/>
    <w:rsid w:val="005F45A0"/>
    <w:rsid w:val="005F67C5"/>
    <w:rsid w:val="005F6D51"/>
    <w:rsid w:val="005F6E17"/>
    <w:rsid w:val="0060501C"/>
    <w:rsid w:val="006060B1"/>
    <w:rsid w:val="00606AA4"/>
    <w:rsid w:val="00610548"/>
    <w:rsid w:val="00617621"/>
    <w:rsid w:val="006246DE"/>
    <w:rsid w:val="006306DF"/>
    <w:rsid w:val="006449F8"/>
    <w:rsid w:val="00650E48"/>
    <w:rsid w:val="00657AED"/>
    <w:rsid w:val="0066206D"/>
    <w:rsid w:val="00664E62"/>
    <w:rsid w:val="00670033"/>
    <w:rsid w:val="00673D85"/>
    <w:rsid w:val="00675E71"/>
    <w:rsid w:val="00676B2B"/>
    <w:rsid w:val="00686979"/>
    <w:rsid w:val="00690D0E"/>
    <w:rsid w:val="006A6B09"/>
    <w:rsid w:val="006B3631"/>
    <w:rsid w:val="006B406F"/>
    <w:rsid w:val="006B4C62"/>
    <w:rsid w:val="006C27D0"/>
    <w:rsid w:val="006C29E4"/>
    <w:rsid w:val="006C2A3F"/>
    <w:rsid w:val="006C2A78"/>
    <w:rsid w:val="006C3535"/>
    <w:rsid w:val="006C4FDD"/>
    <w:rsid w:val="006C7152"/>
    <w:rsid w:val="006C7639"/>
    <w:rsid w:val="006E5D62"/>
    <w:rsid w:val="006E6266"/>
    <w:rsid w:val="0070171F"/>
    <w:rsid w:val="00701949"/>
    <w:rsid w:val="00701FDF"/>
    <w:rsid w:val="00704EB7"/>
    <w:rsid w:val="0071208A"/>
    <w:rsid w:val="007142EA"/>
    <w:rsid w:val="00714ECA"/>
    <w:rsid w:val="00715374"/>
    <w:rsid w:val="007156C5"/>
    <w:rsid w:val="00716625"/>
    <w:rsid w:val="00717BDF"/>
    <w:rsid w:val="00721F64"/>
    <w:rsid w:val="007254E9"/>
    <w:rsid w:val="00726840"/>
    <w:rsid w:val="007315AD"/>
    <w:rsid w:val="007347FD"/>
    <w:rsid w:val="007350B4"/>
    <w:rsid w:val="007367C4"/>
    <w:rsid w:val="00745579"/>
    <w:rsid w:val="00745FC6"/>
    <w:rsid w:val="00746B83"/>
    <w:rsid w:val="00750C65"/>
    <w:rsid w:val="00754BDC"/>
    <w:rsid w:val="007700B9"/>
    <w:rsid w:val="00770D89"/>
    <w:rsid w:val="00775C8B"/>
    <w:rsid w:val="00780A39"/>
    <w:rsid w:val="007811FF"/>
    <w:rsid w:val="00783B93"/>
    <w:rsid w:val="00785606"/>
    <w:rsid w:val="00785DB5"/>
    <w:rsid w:val="007865D1"/>
    <w:rsid w:val="00792207"/>
    <w:rsid w:val="007978F1"/>
    <w:rsid w:val="007A4350"/>
    <w:rsid w:val="007A6AEF"/>
    <w:rsid w:val="007B3D89"/>
    <w:rsid w:val="007C05E0"/>
    <w:rsid w:val="007C253C"/>
    <w:rsid w:val="007C50ED"/>
    <w:rsid w:val="007C580D"/>
    <w:rsid w:val="007C75C7"/>
    <w:rsid w:val="007D250A"/>
    <w:rsid w:val="007D69B5"/>
    <w:rsid w:val="007E197F"/>
    <w:rsid w:val="007E1F87"/>
    <w:rsid w:val="007E29F2"/>
    <w:rsid w:val="007E34C5"/>
    <w:rsid w:val="007E3FD2"/>
    <w:rsid w:val="00800F7B"/>
    <w:rsid w:val="008017F9"/>
    <w:rsid w:val="008021E7"/>
    <w:rsid w:val="00803FD9"/>
    <w:rsid w:val="00805CF3"/>
    <w:rsid w:val="008069D1"/>
    <w:rsid w:val="00814685"/>
    <w:rsid w:val="008156E4"/>
    <w:rsid w:val="00821E91"/>
    <w:rsid w:val="00822AB6"/>
    <w:rsid w:val="00825558"/>
    <w:rsid w:val="0082697D"/>
    <w:rsid w:val="00827D93"/>
    <w:rsid w:val="00833F70"/>
    <w:rsid w:val="00836D1F"/>
    <w:rsid w:val="00837A04"/>
    <w:rsid w:val="00841B3D"/>
    <w:rsid w:val="008448FA"/>
    <w:rsid w:val="00846F11"/>
    <w:rsid w:val="00847D21"/>
    <w:rsid w:val="008520E3"/>
    <w:rsid w:val="00853520"/>
    <w:rsid w:val="008563DA"/>
    <w:rsid w:val="0086358C"/>
    <w:rsid w:val="00867769"/>
    <w:rsid w:val="00870852"/>
    <w:rsid w:val="00872FC1"/>
    <w:rsid w:val="00882586"/>
    <w:rsid w:val="00887D14"/>
    <w:rsid w:val="008912FA"/>
    <w:rsid w:val="00893E1F"/>
    <w:rsid w:val="00894885"/>
    <w:rsid w:val="008974F6"/>
    <w:rsid w:val="008A13F3"/>
    <w:rsid w:val="008A4295"/>
    <w:rsid w:val="008B1C6B"/>
    <w:rsid w:val="008B2E6C"/>
    <w:rsid w:val="008B5116"/>
    <w:rsid w:val="008C644A"/>
    <w:rsid w:val="008D139B"/>
    <w:rsid w:val="008D1567"/>
    <w:rsid w:val="008D6D99"/>
    <w:rsid w:val="008D769B"/>
    <w:rsid w:val="008E3375"/>
    <w:rsid w:val="008E37D4"/>
    <w:rsid w:val="008E5465"/>
    <w:rsid w:val="008E7067"/>
    <w:rsid w:val="008F407E"/>
    <w:rsid w:val="008F54BA"/>
    <w:rsid w:val="008F6659"/>
    <w:rsid w:val="00903F4B"/>
    <w:rsid w:val="00904A03"/>
    <w:rsid w:val="00907263"/>
    <w:rsid w:val="00907E16"/>
    <w:rsid w:val="00913589"/>
    <w:rsid w:val="00915ADC"/>
    <w:rsid w:val="009227FE"/>
    <w:rsid w:val="0093106E"/>
    <w:rsid w:val="0093116C"/>
    <w:rsid w:val="00933D8B"/>
    <w:rsid w:val="00934159"/>
    <w:rsid w:val="009418F7"/>
    <w:rsid w:val="009455AF"/>
    <w:rsid w:val="00946D4C"/>
    <w:rsid w:val="00947D80"/>
    <w:rsid w:val="00950599"/>
    <w:rsid w:val="00951B96"/>
    <w:rsid w:val="00953B0E"/>
    <w:rsid w:val="00956499"/>
    <w:rsid w:val="00957B65"/>
    <w:rsid w:val="009616CA"/>
    <w:rsid w:val="009644A3"/>
    <w:rsid w:val="009662BB"/>
    <w:rsid w:val="009677DB"/>
    <w:rsid w:val="009832B6"/>
    <w:rsid w:val="009A101F"/>
    <w:rsid w:val="009A16A1"/>
    <w:rsid w:val="009A4B64"/>
    <w:rsid w:val="009B27CF"/>
    <w:rsid w:val="009B2ED8"/>
    <w:rsid w:val="009B3187"/>
    <w:rsid w:val="009B41C8"/>
    <w:rsid w:val="009C6AC0"/>
    <w:rsid w:val="009C726B"/>
    <w:rsid w:val="009D11F2"/>
    <w:rsid w:val="009D12BA"/>
    <w:rsid w:val="009D212D"/>
    <w:rsid w:val="009E14EE"/>
    <w:rsid w:val="009E5A9B"/>
    <w:rsid w:val="009F151D"/>
    <w:rsid w:val="009F1757"/>
    <w:rsid w:val="009F4FDA"/>
    <w:rsid w:val="009F5DB4"/>
    <w:rsid w:val="00A01BBB"/>
    <w:rsid w:val="00A0232E"/>
    <w:rsid w:val="00A039AE"/>
    <w:rsid w:val="00A1075F"/>
    <w:rsid w:val="00A12777"/>
    <w:rsid w:val="00A128FD"/>
    <w:rsid w:val="00A14C88"/>
    <w:rsid w:val="00A171D2"/>
    <w:rsid w:val="00A21522"/>
    <w:rsid w:val="00A21964"/>
    <w:rsid w:val="00A23658"/>
    <w:rsid w:val="00A24D06"/>
    <w:rsid w:val="00A31FF5"/>
    <w:rsid w:val="00A32B0C"/>
    <w:rsid w:val="00A34375"/>
    <w:rsid w:val="00A346C2"/>
    <w:rsid w:val="00A360CC"/>
    <w:rsid w:val="00A402E9"/>
    <w:rsid w:val="00A40CAD"/>
    <w:rsid w:val="00A45001"/>
    <w:rsid w:val="00A47E51"/>
    <w:rsid w:val="00A51231"/>
    <w:rsid w:val="00A72383"/>
    <w:rsid w:val="00A825B7"/>
    <w:rsid w:val="00A8606E"/>
    <w:rsid w:val="00A946A0"/>
    <w:rsid w:val="00A9615D"/>
    <w:rsid w:val="00A9649B"/>
    <w:rsid w:val="00AA09D9"/>
    <w:rsid w:val="00AA49A8"/>
    <w:rsid w:val="00AA69C3"/>
    <w:rsid w:val="00AA7912"/>
    <w:rsid w:val="00AB49C1"/>
    <w:rsid w:val="00AB49EC"/>
    <w:rsid w:val="00AC0EF0"/>
    <w:rsid w:val="00AC2844"/>
    <w:rsid w:val="00AC5286"/>
    <w:rsid w:val="00AC53B9"/>
    <w:rsid w:val="00AC5D80"/>
    <w:rsid w:val="00AD021E"/>
    <w:rsid w:val="00AD0F0E"/>
    <w:rsid w:val="00AE015C"/>
    <w:rsid w:val="00AE10E8"/>
    <w:rsid w:val="00AE46D6"/>
    <w:rsid w:val="00AF1B3B"/>
    <w:rsid w:val="00AF31DF"/>
    <w:rsid w:val="00B04472"/>
    <w:rsid w:val="00B07422"/>
    <w:rsid w:val="00B10FE1"/>
    <w:rsid w:val="00B2132D"/>
    <w:rsid w:val="00B21C06"/>
    <w:rsid w:val="00B33A96"/>
    <w:rsid w:val="00B35732"/>
    <w:rsid w:val="00B35C4C"/>
    <w:rsid w:val="00B3698F"/>
    <w:rsid w:val="00B44160"/>
    <w:rsid w:val="00B455FA"/>
    <w:rsid w:val="00B52AA0"/>
    <w:rsid w:val="00B5545F"/>
    <w:rsid w:val="00B575CB"/>
    <w:rsid w:val="00B6185F"/>
    <w:rsid w:val="00B64F6E"/>
    <w:rsid w:val="00B6601B"/>
    <w:rsid w:val="00B718F5"/>
    <w:rsid w:val="00B73332"/>
    <w:rsid w:val="00B81F9A"/>
    <w:rsid w:val="00B8272C"/>
    <w:rsid w:val="00B91FFB"/>
    <w:rsid w:val="00B95B90"/>
    <w:rsid w:val="00B96A66"/>
    <w:rsid w:val="00B9700C"/>
    <w:rsid w:val="00B970B1"/>
    <w:rsid w:val="00BA3AF3"/>
    <w:rsid w:val="00BA45AE"/>
    <w:rsid w:val="00BA51E7"/>
    <w:rsid w:val="00BA5C7B"/>
    <w:rsid w:val="00BA71D4"/>
    <w:rsid w:val="00BB03C4"/>
    <w:rsid w:val="00BB0E51"/>
    <w:rsid w:val="00BB362A"/>
    <w:rsid w:val="00BB3713"/>
    <w:rsid w:val="00BB6BC3"/>
    <w:rsid w:val="00BC1070"/>
    <w:rsid w:val="00BC1A0C"/>
    <w:rsid w:val="00BC1B01"/>
    <w:rsid w:val="00BD5760"/>
    <w:rsid w:val="00BD6098"/>
    <w:rsid w:val="00BD7C4D"/>
    <w:rsid w:val="00BE118B"/>
    <w:rsid w:val="00BF2B55"/>
    <w:rsid w:val="00C07D00"/>
    <w:rsid w:val="00C136B7"/>
    <w:rsid w:val="00C15E6F"/>
    <w:rsid w:val="00C1745D"/>
    <w:rsid w:val="00C207D1"/>
    <w:rsid w:val="00C21FA2"/>
    <w:rsid w:val="00C27843"/>
    <w:rsid w:val="00C40428"/>
    <w:rsid w:val="00C42E94"/>
    <w:rsid w:val="00C47B6A"/>
    <w:rsid w:val="00C61809"/>
    <w:rsid w:val="00C6395E"/>
    <w:rsid w:val="00C654A7"/>
    <w:rsid w:val="00C67ABE"/>
    <w:rsid w:val="00C70F5A"/>
    <w:rsid w:val="00C719CC"/>
    <w:rsid w:val="00C74DAE"/>
    <w:rsid w:val="00C77380"/>
    <w:rsid w:val="00C82806"/>
    <w:rsid w:val="00C85107"/>
    <w:rsid w:val="00C8629B"/>
    <w:rsid w:val="00C87BA6"/>
    <w:rsid w:val="00C94ADA"/>
    <w:rsid w:val="00C97548"/>
    <w:rsid w:val="00CA11A6"/>
    <w:rsid w:val="00CA6127"/>
    <w:rsid w:val="00CA622B"/>
    <w:rsid w:val="00CB1252"/>
    <w:rsid w:val="00CB58FC"/>
    <w:rsid w:val="00CB5EF2"/>
    <w:rsid w:val="00CB6BBD"/>
    <w:rsid w:val="00CB6DF0"/>
    <w:rsid w:val="00CB771E"/>
    <w:rsid w:val="00CC27F3"/>
    <w:rsid w:val="00CC5187"/>
    <w:rsid w:val="00CC63BF"/>
    <w:rsid w:val="00CD2E41"/>
    <w:rsid w:val="00CD7663"/>
    <w:rsid w:val="00CE07B4"/>
    <w:rsid w:val="00CE1643"/>
    <w:rsid w:val="00CE1F20"/>
    <w:rsid w:val="00CE286C"/>
    <w:rsid w:val="00CF0BA1"/>
    <w:rsid w:val="00CF220A"/>
    <w:rsid w:val="00D05469"/>
    <w:rsid w:val="00D12E61"/>
    <w:rsid w:val="00D219B7"/>
    <w:rsid w:val="00D22FE8"/>
    <w:rsid w:val="00D27177"/>
    <w:rsid w:val="00D30454"/>
    <w:rsid w:val="00D3084E"/>
    <w:rsid w:val="00D30CF0"/>
    <w:rsid w:val="00D31F63"/>
    <w:rsid w:val="00D33F61"/>
    <w:rsid w:val="00D34AB3"/>
    <w:rsid w:val="00D35037"/>
    <w:rsid w:val="00D3666A"/>
    <w:rsid w:val="00D43330"/>
    <w:rsid w:val="00D45669"/>
    <w:rsid w:val="00D576B7"/>
    <w:rsid w:val="00D6197E"/>
    <w:rsid w:val="00D657FA"/>
    <w:rsid w:val="00D65D0C"/>
    <w:rsid w:val="00D7303D"/>
    <w:rsid w:val="00D7607B"/>
    <w:rsid w:val="00D8149D"/>
    <w:rsid w:val="00D8240B"/>
    <w:rsid w:val="00D84C8E"/>
    <w:rsid w:val="00D87C53"/>
    <w:rsid w:val="00DB24BD"/>
    <w:rsid w:val="00DB7D52"/>
    <w:rsid w:val="00DC442E"/>
    <w:rsid w:val="00DC7132"/>
    <w:rsid w:val="00DC7DB4"/>
    <w:rsid w:val="00DD033D"/>
    <w:rsid w:val="00DD2519"/>
    <w:rsid w:val="00DD62DD"/>
    <w:rsid w:val="00DD690D"/>
    <w:rsid w:val="00DE3262"/>
    <w:rsid w:val="00DE731A"/>
    <w:rsid w:val="00DE7730"/>
    <w:rsid w:val="00DF1452"/>
    <w:rsid w:val="00DF213E"/>
    <w:rsid w:val="00DF3C48"/>
    <w:rsid w:val="00DF43A7"/>
    <w:rsid w:val="00DF6A9E"/>
    <w:rsid w:val="00DF7E9C"/>
    <w:rsid w:val="00E0000B"/>
    <w:rsid w:val="00E010E1"/>
    <w:rsid w:val="00E04FFF"/>
    <w:rsid w:val="00E05D68"/>
    <w:rsid w:val="00E06FD4"/>
    <w:rsid w:val="00E215EC"/>
    <w:rsid w:val="00E249F3"/>
    <w:rsid w:val="00E263F6"/>
    <w:rsid w:val="00E27328"/>
    <w:rsid w:val="00E279F7"/>
    <w:rsid w:val="00E356FA"/>
    <w:rsid w:val="00E35711"/>
    <w:rsid w:val="00E35FC7"/>
    <w:rsid w:val="00E36012"/>
    <w:rsid w:val="00E374FB"/>
    <w:rsid w:val="00E41B02"/>
    <w:rsid w:val="00E469A1"/>
    <w:rsid w:val="00E52115"/>
    <w:rsid w:val="00E531B6"/>
    <w:rsid w:val="00E533F1"/>
    <w:rsid w:val="00E53838"/>
    <w:rsid w:val="00E53D99"/>
    <w:rsid w:val="00E56649"/>
    <w:rsid w:val="00E5752F"/>
    <w:rsid w:val="00E616EF"/>
    <w:rsid w:val="00E63052"/>
    <w:rsid w:val="00E63288"/>
    <w:rsid w:val="00E661C1"/>
    <w:rsid w:val="00E679D4"/>
    <w:rsid w:val="00E70F52"/>
    <w:rsid w:val="00E72614"/>
    <w:rsid w:val="00E739B1"/>
    <w:rsid w:val="00E80688"/>
    <w:rsid w:val="00E809B5"/>
    <w:rsid w:val="00E82A89"/>
    <w:rsid w:val="00E87FA4"/>
    <w:rsid w:val="00E91318"/>
    <w:rsid w:val="00E915C0"/>
    <w:rsid w:val="00E9429E"/>
    <w:rsid w:val="00E94B69"/>
    <w:rsid w:val="00E95884"/>
    <w:rsid w:val="00EA2F7A"/>
    <w:rsid w:val="00EA703D"/>
    <w:rsid w:val="00EB49E8"/>
    <w:rsid w:val="00EB4F97"/>
    <w:rsid w:val="00EB7016"/>
    <w:rsid w:val="00EB74CC"/>
    <w:rsid w:val="00EC0F0A"/>
    <w:rsid w:val="00EC5FA2"/>
    <w:rsid w:val="00ED0D2B"/>
    <w:rsid w:val="00ED3124"/>
    <w:rsid w:val="00EE15B3"/>
    <w:rsid w:val="00EE1E8C"/>
    <w:rsid w:val="00EE660B"/>
    <w:rsid w:val="00EF062E"/>
    <w:rsid w:val="00EF10D8"/>
    <w:rsid w:val="00EF631A"/>
    <w:rsid w:val="00F00DF2"/>
    <w:rsid w:val="00F01683"/>
    <w:rsid w:val="00F022CF"/>
    <w:rsid w:val="00F040E1"/>
    <w:rsid w:val="00F1574C"/>
    <w:rsid w:val="00F1678C"/>
    <w:rsid w:val="00F220EB"/>
    <w:rsid w:val="00F22DCD"/>
    <w:rsid w:val="00F317D9"/>
    <w:rsid w:val="00F405FB"/>
    <w:rsid w:val="00F46A44"/>
    <w:rsid w:val="00F47D91"/>
    <w:rsid w:val="00F51CA5"/>
    <w:rsid w:val="00F52979"/>
    <w:rsid w:val="00F541C6"/>
    <w:rsid w:val="00F54E16"/>
    <w:rsid w:val="00F569C5"/>
    <w:rsid w:val="00F57EAF"/>
    <w:rsid w:val="00F61491"/>
    <w:rsid w:val="00F64E76"/>
    <w:rsid w:val="00F64EF6"/>
    <w:rsid w:val="00F80E24"/>
    <w:rsid w:val="00F824D8"/>
    <w:rsid w:val="00F83E56"/>
    <w:rsid w:val="00F84582"/>
    <w:rsid w:val="00F862C2"/>
    <w:rsid w:val="00F86755"/>
    <w:rsid w:val="00F86AA7"/>
    <w:rsid w:val="00F87BD9"/>
    <w:rsid w:val="00F90ACC"/>
    <w:rsid w:val="00FA0053"/>
    <w:rsid w:val="00FA27C7"/>
    <w:rsid w:val="00FA2CF0"/>
    <w:rsid w:val="00FA43C4"/>
    <w:rsid w:val="00FA5BB4"/>
    <w:rsid w:val="00FA6A05"/>
    <w:rsid w:val="00FB2B44"/>
    <w:rsid w:val="00FC3DA1"/>
    <w:rsid w:val="00FC46A6"/>
    <w:rsid w:val="00FD2367"/>
    <w:rsid w:val="00FD2CC5"/>
    <w:rsid w:val="00FE47E1"/>
    <w:rsid w:val="00FE5BB5"/>
    <w:rsid w:val="00FE6C27"/>
    <w:rsid w:val="00FF1760"/>
    <w:rsid w:val="00FF3D1A"/>
    <w:rsid w:val="1F0D4F04"/>
    <w:rsid w:val="46D80335"/>
    <w:rsid w:val="50D613A1"/>
    <w:rsid w:val="5EB32182"/>
    <w:rsid w:val="642A28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0" w:name="toc 1"/>
    <w:lsdException w:unhideWhenUsed="0"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99"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qFormat="1" w:uiPriority="0"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paragraph" w:styleId="2">
    <w:name w:val="heading 1"/>
    <w:basedOn w:val="1"/>
    <w:next w:val="1"/>
    <w:link w:val="24"/>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19"/>
    <w:qFormat/>
    <w:uiPriority w:val="0"/>
    <w:pPr>
      <w:keepNext/>
      <w:keepLines/>
      <w:spacing w:beforeLines="50" w:afterLines="50"/>
      <w:outlineLvl w:val="1"/>
    </w:pPr>
    <w:rPr>
      <w:rFonts w:ascii="Arial" w:hAnsi="Arial"/>
      <w:b/>
      <w:sz w:val="28"/>
    </w:rPr>
  </w:style>
  <w:style w:type="character" w:default="1" w:styleId="15">
    <w:name w:val="Default Paragraph Font"/>
    <w:semiHidden/>
    <w:unhideWhenUsed/>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4">
    <w:name w:val="Document Map"/>
    <w:basedOn w:val="1"/>
    <w:link w:val="27"/>
    <w:semiHidden/>
    <w:unhideWhenUsed/>
    <w:qFormat/>
    <w:uiPriority w:val="0"/>
    <w:rPr>
      <w:rFonts w:ascii="Microsoft YaHei UI" w:eastAsia="Microsoft YaHei UI"/>
      <w:sz w:val="18"/>
      <w:szCs w:val="18"/>
    </w:rPr>
  </w:style>
  <w:style w:type="paragraph" w:styleId="5">
    <w:name w:val="Body Text"/>
    <w:basedOn w:val="1"/>
    <w:link w:val="25"/>
    <w:qFormat/>
    <w:uiPriority w:val="99"/>
    <w:pPr>
      <w:autoSpaceDE w:val="0"/>
      <w:autoSpaceDN w:val="0"/>
      <w:jc w:val="left"/>
    </w:pPr>
    <w:rPr>
      <w:rFonts w:ascii="仿宋" w:hAnsi="仿宋" w:eastAsia="仿宋" w:cs="仿宋"/>
      <w:kern w:val="0"/>
      <w:szCs w:val="32"/>
      <w:lang w:val="zh-CN"/>
    </w:rPr>
  </w:style>
  <w:style w:type="paragraph" w:styleId="6">
    <w:name w:val="Date"/>
    <w:basedOn w:val="1"/>
    <w:next w:val="1"/>
    <w:link w:val="22"/>
    <w:qFormat/>
    <w:uiPriority w:val="0"/>
    <w:pPr>
      <w:ind w:left="100" w:leftChars="2500"/>
    </w:pPr>
  </w:style>
  <w:style w:type="paragraph" w:styleId="7">
    <w:name w:val="Balloon Text"/>
    <w:basedOn w:val="1"/>
    <w:link w:val="20"/>
    <w:qFormat/>
    <w:uiPriority w:val="0"/>
    <w:rPr>
      <w:sz w:val="18"/>
      <w:szCs w:val="18"/>
    </w:rPr>
  </w:style>
  <w:style w:type="paragraph" w:styleId="8">
    <w:name w:val="footer"/>
    <w:basedOn w:val="1"/>
    <w:link w:val="23"/>
    <w:qFormat/>
    <w:uiPriority w:val="99"/>
    <w:pPr>
      <w:tabs>
        <w:tab w:val="center" w:pos="4153"/>
        <w:tab w:val="right" w:pos="8306"/>
      </w:tabs>
      <w:snapToGrid w:val="0"/>
      <w:jc w:val="left"/>
    </w:pPr>
    <w:rPr>
      <w:sz w:val="18"/>
      <w:szCs w:val="18"/>
    </w:rPr>
  </w:style>
  <w:style w:type="paragraph" w:styleId="9">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10">
    <w:name w:val="toc 1"/>
    <w:basedOn w:val="1"/>
    <w:next w:val="1"/>
    <w:semiHidden/>
    <w:qFormat/>
    <w:uiPriority w:val="0"/>
  </w:style>
  <w:style w:type="paragraph" w:styleId="11">
    <w:name w:val="toc 2"/>
    <w:basedOn w:val="1"/>
    <w:next w:val="1"/>
    <w:semiHidden/>
    <w:uiPriority w:val="0"/>
    <w:pPr>
      <w:ind w:left="420" w:leftChars="200"/>
    </w:pPr>
  </w:style>
  <w:style w:type="paragraph" w:styleId="12">
    <w:name w:val="Normal (Web)"/>
    <w:basedOn w:val="1"/>
    <w:unhideWhenUsed/>
    <w:qFormat/>
    <w:uiPriority w:val="99"/>
    <w:pPr>
      <w:widowControl/>
      <w:spacing w:before="100" w:beforeAutospacing="1" w:after="100" w:afterAutospacing="1"/>
      <w:jc w:val="left"/>
    </w:pPr>
    <w:rPr>
      <w:rFonts w:ascii="宋体" w:hAnsi="宋体" w:eastAsia="宋体" w:cs="宋体"/>
      <w:sz w:val="24"/>
      <w:szCs w:val="24"/>
    </w:rPr>
  </w:style>
  <w:style w:type="table" w:styleId="14">
    <w:name w:val="Table Grid"/>
    <w:basedOn w:val="13"/>
    <w:uiPriority w:val="59"/>
    <w:rPr>
      <w:rFonts w:asciiTheme="minorHAnsi" w:hAnsiTheme="minorHAnsi" w:eastAsiaTheme="minorEastAsia" w:cstheme="minorBid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6">
    <w:name w:val="page number"/>
    <w:basedOn w:val="15"/>
    <w:qFormat/>
    <w:uiPriority w:val="0"/>
  </w:style>
  <w:style w:type="character" w:styleId="17">
    <w:name w:val="Hyperlink"/>
    <w:uiPriority w:val="0"/>
    <w:rPr>
      <w:color w:val="0000FF"/>
      <w:u w:val="single"/>
    </w:rPr>
  </w:style>
  <w:style w:type="paragraph" w:customStyle="1" w:styleId="18">
    <w:name w:val="Char Char1 Char Char Char Char Char Char"/>
    <w:basedOn w:val="1"/>
    <w:uiPriority w:val="0"/>
    <w:pPr>
      <w:widowControl/>
      <w:spacing w:after="160" w:line="240" w:lineRule="exact"/>
      <w:jc w:val="left"/>
    </w:pPr>
    <w:rPr>
      <w:rFonts w:ascii="Verdana" w:hAnsi="Verdana"/>
      <w:kern w:val="0"/>
      <w:sz w:val="24"/>
      <w:lang w:eastAsia="en-US"/>
    </w:rPr>
  </w:style>
  <w:style w:type="character" w:customStyle="1" w:styleId="19">
    <w:name w:val="标题 2 Char"/>
    <w:link w:val="3"/>
    <w:uiPriority w:val="0"/>
    <w:rPr>
      <w:rFonts w:ascii="Arial" w:hAnsi="Arial" w:eastAsia="仿宋_GB2312"/>
      <w:b/>
      <w:kern w:val="2"/>
      <w:sz w:val="28"/>
      <w:lang w:val="en-US" w:eastAsia="zh-CN" w:bidi="ar-SA"/>
    </w:rPr>
  </w:style>
  <w:style w:type="character" w:customStyle="1" w:styleId="20">
    <w:name w:val="批注框文本 Char"/>
    <w:link w:val="7"/>
    <w:qFormat/>
    <w:uiPriority w:val="0"/>
    <w:rPr>
      <w:rFonts w:eastAsia="仿宋_GB2312"/>
      <w:kern w:val="2"/>
      <w:sz w:val="18"/>
      <w:szCs w:val="18"/>
    </w:rPr>
  </w:style>
  <w:style w:type="paragraph" w:styleId="21">
    <w:name w:val="List Paragraph"/>
    <w:basedOn w:val="1"/>
    <w:qFormat/>
    <w:uiPriority w:val="99"/>
    <w:pPr>
      <w:ind w:firstLine="420" w:firstLineChars="200"/>
    </w:pPr>
  </w:style>
  <w:style w:type="character" w:customStyle="1" w:styleId="22">
    <w:name w:val="日期 Char"/>
    <w:basedOn w:val="15"/>
    <w:link w:val="6"/>
    <w:qFormat/>
    <w:uiPriority w:val="0"/>
    <w:rPr>
      <w:rFonts w:eastAsia="仿宋_GB2312"/>
      <w:kern w:val="2"/>
      <w:sz w:val="32"/>
    </w:rPr>
  </w:style>
  <w:style w:type="character" w:customStyle="1" w:styleId="23">
    <w:name w:val="页脚 Char"/>
    <w:basedOn w:val="15"/>
    <w:link w:val="8"/>
    <w:uiPriority w:val="99"/>
    <w:rPr>
      <w:rFonts w:eastAsia="仿宋_GB2312"/>
      <w:kern w:val="2"/>
      <w:sz w:val="18"/>
      <w:szCs w:val="18"/>
    </w:rPr>
  </w:style>
  <w:style w:type="character" w:customStyle="1" w:styleId="24">
    <w:name w:val="标题 1 Char"/>
    <w:basedOn w:val="15"/>
    <w:link w:val="2"/>
    <w:uiPriority w:val="0"/>
    <w:rPr>
      <w:rFonts w:eastAsia="仿宋_GB2312"/>
      <w:b/>
      <w:bCs/>
      <w:kern w:val="44"/>
      <w:sz w:val="44"/>
      <w:szCs w:val="44"/>
    </w:rPr>
  </w:style>
  <w:style w:type="character" w:customStyle="1" w:styleId="25">
    <w:name w:val="正文文本 Char"/>
    <w:basedOn w:val="15"/>
    <w:link w:val="5"/>
    <w:qFormat/>
    <w:uiPriority w:val="99"/>
    <w:rPr>
      <w:rFonts w:ascii="仿宋" w:hAnsi="仿宋" w:eastAsia="仿宋" w:cs="仿宋"/>
      <w:sz w:val="32"/>
      <w:szCs w:val="32"/>
      <w:lang w:val="zh-CN"/>
    </w:rPr>
  </w:style>
  <w:style w:type="paragraph" w:customStyle="1" w:styleId="26">
    <w:name w:val="Char Char Char Char"/>
    <w:basedOn w:val="4"/>
    <w:qFormat/>
    <w:uiPriority w:val="0"/>
    <w:pPr>
      <w:shd w:val="clear" w:color="auto" w:fill="000080"/>
      <w:adjustRightInd w:val="0"/>
      <w:spacing w:line="436" w:lineRule="exact"/>
      <w:ind w:left="357"/>
      <w:jc w:val="left"/>
      <w:outlineLvl w:val="3"/>
    </w:pPr>
    <w:rPr>
      <w:rFonts w:ascii="Tahoma" w:hAnsi="Tahoma" w:eastAsia="宋体"/>
      <w:b/>
      <w:sz w:val="24"/>
      <w:szCs w:val="24"/>
    </w:rPr>
  </w:style>
  <w:style w:type="character" w:customStyle="1" w:styleId="27">
    <w:name w:val="文档结构图 Char"/>
    <w:basedOn w:val="15"/>
    <w:link w:val="4"/>
    <w:semiHidden/>
    <w:qFormat/>
    <w:uiPriority w:val="0"/>
    <w:rPr>
      <w:rFonts w:ascii="Microsoft YaHei UI" w:eastAsia="Microsoft YaHei UI"/>
      <w:kern w:val="2"/>
      <w:sz w:val="18"/>
      <w:szCs w:val="18"/>
    </w:rPr>
  </w:style>
  <w:style w:type="paragraph" w:customStyle="1" w:styleId="28">
    <w:name w:val="Table Paragraph"/>
    <w:basedOn w:val="1"/>
    <w:qFormat/>
    <w:uiPriority w:val="1"/>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454480F-D7EE-44FA-B743-8F82FC34FCF0}">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6</Pages>
  <Words>398</Words>
  <Characters>2269</Characters>
  <Lines>18</Lines>
  <Paragraphs>5</Paragraphs>
  <TotalTime>3</TotalTime>
  <ScaleCrop>false</ScaleCrop>
  <LinksUpToDate>false</LinksUpToDate>
  <CharactersWithSpaces>2662</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2019-10-29T01:42:00Z</dcterms:created>
  <dc:creator>User</dc:creator>
  <cp:lastModifiedBy>Administrator</cp:lastModifiedBy>
  <cp:lastPrinted>2021-09-17T07:34:00Z</cp:lastPrinted>
  <dcterms:modified xsi:type="dcterms:W3CDTF">2021-10-12T08:29:19Z</dcterms:modified>
  <dc:title>青岛市城镇燃气突发事件应急预案</dc:title>
  <cp:revision>55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6424E333902C4E6DB4CAC6BFA7BB4F74</vt:lpwstr>
  </property>
</Properties>
</file>